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70.png" ContentType="image/png"/>
  <Override PartName="/word/media/rId1273.png" ContentType="image/png"/>
  <Override PartName="/word/media/rId1276.png" ContentType="image/png"/>
  <Override PartName="/word/media/rId1291.png" ContentType="image/png"/>
  <Override PartName="/word/media/rId1294.png" ContentType="image/png"/>
  <Override PartName="/word/media/rId12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7"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1282" w:name="overview"/>
    <w:p>
      <w:pPr>
        <w:pStyle w:val="Heading2"/>
      </w:pPr>
      <w:r>
        <w:t xml:space="preserve">(1) Overview</w:t>
      </w:r>
    </w:p>
    <w:bookmarkStart w:id="1269"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269"/>
    <w:bookmarkStart w:id="1279"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271" name="Picture"/>
            <a:graphic>
              <a:graphicData uri="http://schemas.openxmlformats.org/drawingml/2006/picture">
                <pic:pic>
                  <pic:nvPicPr>
                    <pic:cNvPr descr="figures/fig1_architecture.png" id="1272" name="Picture"/>
                    <pic:cNvPicPr>
                      <a:picLocks noChangeArrowheads="1" noChangeAspect="1"/>
                    </pic:cNvPicPr>
                  </pic:nvPicPr>
                  <pic:blipFill>
                    <a:blip r:embed="rId1270"/>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about a second, for the shipped ternaries or for any loaded three-cation file (Figure 2). An interactive eutectic builder pre-fills its component names, melting points, and fusion enthalpies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1274" name="Picture"/>
            <a:graphic>
              <a:graphicData uri="http://schemas.openxmlformats.org/drawingml/2006/picture">
                <pic:pic>
                  <pic:nvPicPr>
                    <pic:cNvPr descr="figures/fig2_browser_app.png" id="1275" name="Picture"/>
                    <pic:cNvPicPr>
                      <a:picLocks noChangeArrowheads="1" noChangeAspect="1"/>
                    </pic:cNvPicPr>
                  </pic:nvPicPr>
                  <pic:blipFill>
                    <a:blip r:embed="rId1273"/>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277" name="Picture"/>
            <a:graphic>
              <a:graphicData uri="http://schemas.openxmlformats.org/drawingml/2006/picture">
                <pic:pic>
                  <pic:nvPicPr>
                    <pic:cNvPr descr="figures/fig3_ternary.png" id="1278" name="Picture"/>
                    <pic:cNvPicPr>
                      <a:picLocks noChangeArrowheads="1" noChangeAspect="1"/>
                    </pic:cNvPicPr>
                  </pic:nvPicPr>
                  <pic:blipFill>
                    <a:blip r:embed="rId1276"/>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279"/>
    <w:bookmarkStart w:id="1280"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280"/>
    <w:bookmarkStart w:id="1281"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104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pStyle w:val="Compact"/>
              <w:jc w:val="left"/>
            </w:pPr>
            <w:r>
              <w:t xml:space="preserve">TDB scope guard</w:t>
            </w:r>
          </w:p>
        </w:tc>
        <w:tc>
          <w:tcPr/>
          <w:p>
            <w:pPr>
              <w:pStyle w:val="Compact"/>
              <w:jc w:val="left"/>
            </w:pPr>
            <w:r>
              <w:t xml:space="preserve">ionic-liquid and order-disorder test files</w:t>
            </w:r>
          </w:p>
        </w:tc>
        <w:tc>
          <w:tcPr/>
          <w:p>
            <w:pPr>
              <w:pStyle w:val="Compact"/>
              <w:jc w:val="left"/>
            </w:pPr>
            <w:r>
              <w:t xml:space="preserve">rejected, with the reason asserted</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281"/>
    <w:bookmarkEnd w:id="1282"/>
    <w:bookmarkStart w:id="1290" w:name="availability"/>
    <w:p>
      <w:pPr>
        <w:pStyle w:val="Heading2"/>
      </w:pPr>
      <w:r>
        <w:t xml:space="preserve">(2) Availability</w:t>
      </w:r>
    </w:p>
    <w:bookmarkStart w:id="1283"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283"/>
    <w:bookmarkStart w:id="1284"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284"/>
    <w:bookmarkStart w:id="1285"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285"/>
    <w:bookmarkStart w:id="1286"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286"/>
    <w:bookmarkStart w:id="1287" w:name="list-of-contributors"/>
    <w:p>
      <w:pPr>
        <w:pStyle w:val="Heading3"/>
      </w:pPr>
      <w:r>
        <w:t xml:space="preserve">List of contributors</w:t>
      </w:r>
    </w:p>
    <w:p>
      <w:pPr>
        <w:pStyle w:val="FirstParagraph"/>
      </w:pPr>
      <w:r>
        <w:t xml:space="preserve">Michael E. Bustamante (design, implementation, validation, data curation).</w:t>
      </w:r>
    </w:p>
    <w:bookmarkEnd w:id="1287"/>
    <w:bookmarkStart w:id="1288"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288"/>
    <w:bookmarkStart w:id="1289" w:name="language"/>
    <w:p>
      <w:pPr>
        <w:pStyle w:val="Heading3"/>
      </w:pPr>
      <w:r>
        <w:t xml:space="preserve">Language</w:t>
      </w:r>
    </w:p>
    <w:p>
      <w:pPr>
        <w:pStyle w:val="FirstParagraph"/>
      </w:pPr>
      <w:r>
        <w:t xml:space="preserve">English.</w:t>
      </w:r>
    </w:p>
    <w:bookmarkEnd w:id="1289"/>
    <w:bookmarkEnd w:id="1290"/>
    <w:bookmarkStart w:id="1301"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300"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292" name="Picture"/>
            <a:graphic>
              <a:graphicData uri="http://schemas.openxmlformats.org/drawingml/2006/picture">
                <pic:pic>
                  <pic:nvPicPr>
                    <pic:cNvPr descr="figures/fig4_salt_example.png" id="1293" name="Picture"/>
                    <pic:cNvPicPr>
                      <a:picLocks noChangeArrowheads="1" noChangeAspect="1"/>
                    </pic:cNvPicPr>
                  </pic:nvPicPr>
                  <pic:blipFill>
                    <a:blip r:embed="rId1291"/>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[40],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295" name="Picture"/>
            <a:graphic>
              <a:graphicData uri="http://schemas.openxmlformats.org/drawingml/2006/picture">
                <pic:pic>
                  <pic:nvPicPr>
                    <pic:cNvPr descr="figures/fig5_alloy_example.png" id="1296" name="Picture"/>
                    <pic:cNvPicPr>
                      <a:picLocks noChangeArrowheads="1" noChangeAspect="1"/>
                    </pic:cNvPicPr>
                  </pic:nvPicPr>
                  <pic:blipFill>
                    <a:blip r:embed="rId1294"/>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is a natural continuation.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756265"/>
            <wp:effectExtent b="0" l="0" r="0" t="0"/>
            <wp:docPr descr="Figure 6: One unified (.utdb) file, two physics, calculated in the browser. (a) The steelmaking database loaded with the Melt/Alloy view toggle on Alloy; the engine calculates the Fe-C phase diagram through the magnetic compound energy formalism, with two tapped compositions pinned. (b) Scheil solidification for the same join at 4 mol% C, first solid at 1739 K and the residual liquid frozen by 1436 K, against the equilibrium lever-rule path (dashed). The file’s slag half is a Modified Quasichemical Model liquid; no legacy container holds both models at once." title="" id="1298" name="Picture"/>
            <a:graphic>
              <a:graphicData uri="http://schemas.openxmlformats.org/drawingml/2006/picture">
                <pic:pic>
                  <pic:nvPicPr>
                    <pic:cNvPr descr="figures/fig6_utdb_steel.png" id="1299" name="Picture"/>
                    <pic:cNvPicPr>
                      <a:picLocks noChangeArrowheads="1" noChangeAspect="1"/>
                    </pic:cNvPicPr>
                  </pic:nvPicPr>
                  <pic:blipFill>
                    <a:blip r:embed="rId1297"/>
                    <a:stretch>
                      <a:fillRect/>
                    </a:stretch>
                  </pic:blipFill>
                  <pic:spPr bwMode="auto">
                    <a:xfrm>
                      <a:off x="0" y="0"/>
                      <a:ext cx="5334000" cy="4756265"/>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with two tapped compositions pinned. (b) Scheil solidification for the same join at 4 mol% C, first solid at 1739 K and the residual liquid frozen by 1436 K, against the equilibrium lever-rule path (dashed). The file’s slag half is a Modified Quasichemical Model liquid; no legacy container holds both models at once.</w:t>
      </w:r>
    </w:p>
    <w:p>
      <w:pPr>
        <w:pStyle w:val="BodyText"/>
      </w:pPr>
      <w:r>
        <w:t xml:space="preserve">The gap this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v0.4.0 archives the exact version described, and the 104-test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300"/>
    <w:bookmarkEnd w:id="1301"/>
    <w:bookmarkStart w:id="1302"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1302"/>
    <w:bookmarkStart w:id="1303"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303"/>
    <w:bookmarkStart w:id="1304" w:name="funding-statement"/>
    <w:p>
      <w:pPr>
        <w:pStyle w:val="Heading2"/>
      </w:pPr>
      <w:r>
        <w:t xml:space="preserve">Funding statement</w:t>
      </w:r>
    </w:p>
    <w:p>
      <w:pPr>
        <w:pStyle w:val="FirstParagraph"/>
      </w:pPr>
      <w:r>
        <w:t xml:space="preserve">The development of this software received no external funding.</w:t>
      </w:r>
    </w:p>
    <w:bookmarkEnd w:id="1304"/>
    <w:bookmarkStart w:id="1305"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305"/>
    <w:bookmarkStart w:id="1306"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Dinsdale AT. SGTE data for pure elements. Calphad. 1991 Oct;15(4):317-425. doi:10.1016/0364-5916(91)90030-N</w:t>
      </w:r>
    </w:p>
    <w:bookmarkEnd w:id="1306"/>
    <w:bookmarkEnd w:id="13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268" Target="numbering.xml" /><Relationship Type="http://schemas.openxmlformats.org/officeDocument/2006/relationships/styles" Id="rId1267" Target="styles.xml" /><Relationship Type="http://schemas.openxmlformats.org/officeDocument/2006/relationships/settings" Id="rId1266" Target="settings.xml" /><Relationship Type="http://schemas.openxmlformats.org/officeDocument/2006/relationships/webSettings" Id="rId1265" Target="webSettings.xml" /><Relationship Type="http://schemas.openxmlformats.org/officeDocument/2006/relationships/fontTable" Id="rId1264" Target="fontTable.xml" /><Relationship Type="http://schemas.openxmlformats.org/officeDocument/2006/relationships/theme" Id="rId1263" Target="theme/theme1.xml" /><Relationship Type="http://schemas.openxmlformats.org/officeDocument/2006/relationships/footnotes" Id="rId1262" Target="footnotes.xml" /><Relationship Type="http://schemas.openxmlformats.org/officeDocument/2006/relationships/comments" Id="rId1261"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Type="http://schemas.openxmlformats.org/officeDocument/2006/relationships/image" Id="rId1270" Target="media/rId1270.png" /><Relationship Type="http://schemas.openxmlformats.org/officeDocument/2006/relationships/image" Id="rId1273" Target="media/rId1273.png" /><Relationship Type="http://schemas.openxmlformats.org/officeDocument/2006/relationships/image" Id="rId1276" Target="media/rId1276.png" /><Relationship Type="http://schemas.openxmlformats.org/officeDocument/2006/relationships/image" Id="rId1291" Target="media/rId1291.png" /><Relationship Type="http://schemas.openxmlformats.org/officeDocument/2006/relationships/image" Id="rId1294" Target="media/rId1294.png" /><Relationship Type="http://schemas.openxmlformats.org/officeDocument/2006/relationships/image" Id="rId1297" Target="media/rId129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2026-09-04T14:16:03Z</dcterms:created>
  <dcterms:modified xsi:type="dcterms:W3CDTF">2026-09-04T14:16:03Z</dcterms:modified>
</cp:coreProperties>
</file>

<file path=docProps/custom.xml><?xml version="1.0" encoding="utf-8"?>
<Properties xmlns="http://schemas.openxmlformats.org/officeDocument/2006/custom-properties" xmlns:vt="http://schemas.openxmlformats.org/officeDocument/2006/docPropsVTypes"/>
</file>