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8.png" ContentType="image/png"/>
  <Override PartName="/word/media/rId621.png" ContentType="image/png"/>
  <Override PartName="/word/media/rId624.png" ContentType="image/png"/>
  <Override PartName="/word/media/rId639.png" ContentType="image/png"/>
  <Override PartName="/word/media/rId6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630" w:name="overview"/>
    <w:p>
      <w:pPr>
        <w:pStyle w:val="Heading2"/>
      </w:pPr>
      <w:r>
        <w:t xml:space="preserve">(1) Overview</w:t>
      </w:r>
    </w:p>
    <w:bookmarkStart w:id="61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pPr>
            <w:r>
              <w:t xml:space="preserve">School</w:t>
            </w:r>
          </w:p>
        </w:tc>
        <w:tc>
          <w:tcPr/>
          <w:p>
            <w:pPr>
              <w:keepNext/>
              <w:pStyle w:val="Compact"/>
            </w:pPr>
            <w:r>
              <w:t xml:space="preserve">Native containers</w:t>
            </w:r>
          </w:p>
        </w:tc>
        <w:tc>
          <w:tcPr/>
          <w:p>
            <w:pPr>
              <w:keepNext/>
              <w:pStyle w:val="Compact"/>
            </w:pPr>
            <w:r>
              <w:t xml:space="preserve">Carried by</w:t>
            </w:r>
          </w:p>
        </w:tc>
      </w:tr>
      <w:tr>
        <w:trPr>
          <w:cantSplit/>
        </w:trPr>
        <w:tc>
          <w:tcPr/>
          <w:p>
            <w:pPr>
              <w:keepNext/>
              <w:pStyle w:val="Compact"/>
            </w:pPr>
            <w:r>
              <w:t xml:space="preserve">CALPHAD, ChemSage lineage</w:t>
            </w:r>
          </w:p>
        </w:tc>
        <w:tc>
          <w:tcPr/>
          <w:p>
            <w:pPr>
              <w:keepNext/>
              <w:pStyle w:val="Compact"/>
            </w:pPr>
            <w:r>
              <w:t xml:space="preserve">ChemSage .dat</w:t>
            </w:r>
          </w:p>
        </w:tc>
        <w:tc>
          <w:tcPr/>
          <w:p>
            <w:pPr>
              <w:keepNext/>
              <w:pStyle w:val="Compact"/>
            </w:pPr>
            <w:r>
              <w:t xml:space="preserve">FactSage, ChemApp, Thermochimica; the only legacy carrier of MQMQA melts</w:t>
            </w:r>
          </w:p>
        </w:tc>
      </w:tr>
      <w:tr>
        <w:trPr>
          <w:cantSplit/>
        </w:trPr>
        <w:tc>
          <w:tcPr/>
          <w:p>
            <w:pPr>
              <w:keepNext/>
              <w:pStyle w:val="Compact"/>
            </w:pPr>
            <w:r>
              <w:t xml:space="preserve">CALPHAD, Thermo-Calc lineage</w:t>
            </w:r>
          </w:p>
        </w:tc>
        <w:tc>
          <w:tcPr/>
          <w:p>
            <w:pPr>
              <w:keepNext/>
              <w:pStyle w:val="Compact"/>
            </w:pPr>
            <w:r>
              <w:t xml:space="preserve">TDB</w:t>
            </w:r>
          </w:p>
        </w:tc>
        <w:tc>
          <w:tcPr/>
          <w:p>
            <w:pPr>
              <w:keepNext/>
              <w:pStyle w:val="Compact"/>
            </w:pPr>
            <w:r>
              <w:t xml:space="preserve">Thermo-Calc, OpenCalphad, pycalphad; alloy CEF</w:t>
            </w:r>
          </w:p>
        </w:tc>
      </w:tr>
      <w:tr>
        <w:trPr>
          <w:cantSplit/>
        </w:trPr>
        <w:tc>
          <w:tcPr/>
          <w:p>
            <w:pPr>
              <w:keepNext/>
              <w:pStyle w:val="Compact"/>
            </w:pPr>
            <w:r>
              <w:t xml:space="preserve">CALPHAD, XML successor</w:t>
            </w:r>
          </w:p>
        </w:tc>
        <w:tc>
          <w:tcPr/>
          <w:p>
            <w:pPr>
              <w:keepNext/>
              <w:pStyle w:val="Compact"/>
            </w:pPr>
            <w:r>
              <w:t xml:space="preserve">XTDB [15]</w:t>
            </w:r>
          </w:p>
        </w:tc>
        <w:tc>
          <w:tcPr/>
          <w:p>
            <w:pPr>
              <w:keepNext/>
              <w:pStyle w:val="Compact"/>
            </w:pPr>
            <w:r>
              <w:t xml:space="preserve">proposed unified schema, MQMQA included</w:t>
            </w:r>
          </w:p>
        </w:tc>
      </w:tr>
      <w:tr>
        <w:trPr>
          <w:cantSplit/>
        </w:trPr>
        <w:tc>
          <w:tcPr/>
          <w:p>
            <w:pPr>
              <w:keepNext/>
              <w:pStyle w:val="Compact"/>
            </w:pPr>
            <w:r>
              <w:t xml:space="preserve">Geochemical / aqueous</w:t>
            </w:r>
          </w:p>
        </w:tc>
        <w:tc>
          <w:tcPr/>
          <w:p>
            <w:pPr>
              <w:keepNext/>
              <w:pStyle w:val="Compact"/>
            </w:pPr>
            <w:r>
              <w:t xml:space="preserve">GEMS containers, PhreeqC data files</w:t>
            </w:r>
          </w:p>
        </w:tc>
        <w:tc>
          <w:tcPr/>
          <w:p>
            <w:pPr>
              <w:keepNext/>
              <w:pStyle w:val="Compact"/>
            </w:pPr>
            <w:r>
              <w:t xml:space="preserve">GEM-Selektor behind CemGEMS [14]; speciation models</w:t>
            </w:r>
          </w:p>
        </w:tc>
      </w:tr>
      <w:tr>
        <w:trPr>
          <w:cantSplit/>
        </w:trPr>
        <w:tc>
          <w:tcPr/>
          <w:p>
            <w:pPr>
              <w:keepNext/>
              <w:pStyle w:val="Compact"/>
            </w:pPr>
            <w:r>
              <w:t xml:space="preserve">Combustion / gas phase</w:t>
            </w:r>
          </w:p>
        </w:tc>
        <w:tc>
          <w:tcPr/>
          <w:p>
            <w:pPr>
              <w:keepNext/>
              <w:pStyle w:val="Compact"/>
            </w:pPr>
            <w:r>
              <w:t xml:space="preserve">NASA-polynomial files (CHEMKIN, Cantera)</w:t>
            </w:r>
          </w:p>
        </w:tc>
        <w:tc>
          <w:tcPr/>
          <w:p>
            <w:pPr>
              <w:keepNext/>
              <w:pStyle w:val="Compact"/>
            </w:pPr>
            <w:r>
              <w:t xml:space="preserve">ideal-gas and pure condensed species, no solution models</w:t>
            </w:r>
          </w:p>
        </w:tc>
      </w:tr>
      <w:tr>
        <w:trPr>
          <w:cantSplit/>
        </w:trP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617"/>
    <w:bookmarkStart w:id="62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619" name="Picture"/>
            <a:graphic>
              <a:graphicData uri="http://schemas.openxmlformats.org/drawingml/2006/picture">
                <pic:pic>
                  <pic:nvPicPr>
                    <pic:cNvPr descr="figures/fig1_architecture.png" id="620" name="Picture"/>
                    <pic:cNvPicPr>
                      <a:picLocks noChangeArrowheads="1" noChangeAspect="1"/>
                    </pic:cNvPicPr>
                  </pic:nvPicPr>
                  <pic:blipFill>
                    <a:blip r:embed="rId618"/>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622" name="Picture"/>
            <a:graphic>
              <a:graphicData uri="http://schemas.openxmlformats.org/drawingml/2006/picture">
                <pic:pic>
                  <pic:nvPicPr>
                    <pic:cNvPr descr="figures/fig2_browser_app.png" id="623" name="Picture"/>
                    <pic:cNvPicPr>
                      <a:picLocks noChangeArrowheads="1" noChangeAspect="1"/>
                    </pic:cNvPicPr>
                  </pic:nvPicPr>
                  <pic:blipFill>
                    <a:blip r:embed="rId62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625" name="Picture"/>
            <a:graphic>
              <a:graphicData uri="http://schemas.openxmlformats.org/drawingml/2006/picture">
                <pic:pic>
                  <pic:nvPicPr>
                    <pic:cNvPr descr="figures/fig3_ternary.png" id="626" name="Picture"/>
                    <pic:cNvPicPr>
                      <a:picLocks noChangeArrowheads="1" noChangeAspect="1"/>
                    </pic:cNvPicPr>
                  </pic:nvPicPr>
                  <pic:blipFill>
                    <a:blip r:embed="rId624"/>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System</w:t>
            </w:r>
          </w:p>
        </w:tc>
        <w:tc>
          <w:tcPr/>
          <w:p>
            <w:pPr>
              <w:keepNext/>
              <w:pStyle w:val="Compact"/>
            </w:pPr>
            <w:r>
              <w:t xml:space="preserve">Fitted liquid excess (J/mol)</w:t>
            </w:r>
          </w:p>
        </w:tc>
        <w:tc>
          <w:tcPr/>
          <w:p>
            <w:pPr>
              <w:keepNext/>
              <w:pStyle w:val="Compact"/>
            </w:pPr>
            <w:r>
              <w:t xml:space="preserve">Fitted to</w:t>
            </w:r>
          </w:p>
        </w:tc>
        <w:tc>
          <w:tcPr/>
          <w:p>
            <w:pPr>
              <w:keepNext/>
              <w:pStyle w:val="Compact"/>
            </w:pPr>
            <w:r>
              <w:t xml:space="preserve">Reproduces; known limit</w:t>
            </w:r>
          </w:p>
        </w:tc>
      </w:tr>
      <w:tr>
        <w:trPr>
          <w:cantSplit/>
        </w:trPr>
        <w:tc>
          <w:tcPr/>
          <w:p>
            <w:pPr>
              <w:keepNext/>
              <w:pStyle w:val="Compact"/>
            </w:pPr>
            <w:r>
              <w:t xml:space="preserve">CaO-SiO</w:t>
            </w:r>
            <w:r>
              <w:rPr>
                <w:vertAlign w:val="subscript"/>
              </w:rPr>
              <w:t xml:space="preserve">2</w:t>
            </w:r>
          </w:p>
        </w:tc>
        <w:tc>
          <w:tcPr/>
          <w:p>
            <w:pPr>
              <w:keepNext/>
              <w:pStyle w:val="Compact"/>
            </w:pPr>
            <w:r>
              <w:t xml:space="preserve">(-189764 + 15.71 T) + 57171 χ</w:t>
            </w:r>
            <w:r>
              <w:rPr>
                <w:vertAlign w:val="subscript"/>
              </w:rPr>
              <w:t xml:space="preserve">Ca</w:t>
            </w:r>
          </w:p>
        </w:tc>
        <w:tc>
          <w:tcPr/>
          <w:p>
            <w:pPr>
              <w:keepNext/>
              <w:pStyle w:val="Compact"/>
            </w:pPr>
            <w:r>
              <w:t xml:space="preserve">silica activities [20,21]; bias-corrected melt-mixing enthalpies [27,28]; endmember and compound melting</w:t>
            </w:r>
          </w:p>
        </w:tc>
        <w:tc>
          <w:tcPr/>
          <w:p>
            <w:pPr>
              <w:keepNext/>
              <w:pStyle w:val="Compact"/>
            </w:pPr>
            <w:r>
              <w:t xml:space="preserve">mixing enthalpy near -58 kJ/mol at the metasilicate; silica-rich miscibility gap at the right composition but high in temperature</w:t>
            </w:r>
          </w:p>
        </w:tc>
      </w:tr>
      <w:tr>
        <w:trPr>
          <w:cantSplit/>
        </w:trPr>
        <w:tc>
          <w:tcPr/>
          <w:p>
            <w:pPr>
              <w:keepNext/>
              <w:pStyle w:val="Compact"/>
            </w:pPr>
            <w:r>
              <w:t xml:space="preserve">MgO-SiO</w:t>
            </w:r>
            <w:r>
              <w:rPr>
                <w:vertAlign w:val="subscript"/>
              </w:rPr>
              <w:t xml:space="preserve">2</w:t>
            </w:r>
          </w:p>
        </w:tc>
        <w:tc>
          <w:tcPr/>
          <w:p>
            <w:pPr>
              <w:keepNext/>
              <w:pStyle w:val="Compact"/>
            </w:pPr>
            <w:r>
              <w:t xml:space="preserve">five terms in the equivalent fraction Y</w:t>
            </w:r>
            <w:r>
              <w:rPr>
                <w:vertAlign w:val="subscript"/>
              </w:rPr>
              <w:t xml:space="preserve">SiO2</w:t>
            </w:r>
            <w:r>
              <w:t xml:space="preserve">, each a + b T</w:t>
            </w:r>
          </w:p>
        </w:tc>
        <w:tc>
          <w:tcPr/>
          <w:p>
            <w:pPr>
              <w:keepNext/>
              <w:pStyle w:val="Compact"/>
            </w:pPr>
            <w:r>
              <w:t xml:space="preserve">measured invariants and immiscibility data [24,25] from five studies, the measured consolute, and solution calorimetry [26]</w:t>
            </w:r>
          </w:p>
        </w:tc>
        <w:tc>
          <w:tcPr/>
          <w:p>
            <w:pPr>
              <w:keepNext/>
              <w:pStyle w:val="Compact"/>
            </w:pPr>
            <w:r>
              <w:t xml:space="preserve">all four invariants within about 40 °C; calorimetry matched; stable two-liquid field about 340 °C high</w:t>
            </w:r>
          </w:p>
        </w:tc>
      </w:tr>
      <w:tr>
        <w:trPr>
          <w:cantSplit/>
        </w:trPr>
        <w:tc>
          <w:tcPr/>
          <w:p>
            <w:pPr>
              <w:keepNext/>
              <w:pStyle w:val="Compact"/>
            </w:pPr>
            <w:r>
              <w:t xml:space="preserve">FeO-SiO</w:t>
            </w:r>
            <w:r>
              <w:rPr>
                <w:vertAlign w:val="subscript"/>
              </w:rPr>
              <w:t xml:space="preserve">2</w:t>
            </w:r>
          </w:p>
        </w:tc>
        <w:tc>
          <w:tcPr/>
          <w:p>
            <w:pPr>
              <w:keepNext/>
              <w:pStyle w:val="Compact"/>
            </w:pPr>
            <w:r>
              <w:t xml:space="preserve">-42839 + 17.83 T</w:t>
            </w:r>
          </w:p>
        </w:tc>
        <w:tc>
          <w:tcPr/>
          <w:p>
            <w:pPr>
              <w:keepNext/>
              <w:pStyle w:val="Compact"/>
            </w:pPr>
            <w:r>
              <w:t xml:space="preserve">23 iron-saturated activities across two isotherms [22]</w:t>
            </w:r>
          </w:p>
        </w:tc>
        <w:tc>
          <w:tcPr/>
          <w:p>
            <w:pPr>
              <w:keepNext/>
              <w:pStyle w:val="Compact"/>
            </w:pPr>
            <w:r>
              <w:t xml:space="preserve">RMS ln a = 0.067; fayalite congruent melting within a few degrees</w:t>
            </w:r>
          </w:p>
        </w:tc>
      </w:tr>
      <w:tr>
        <w:trPr>
          <w:cantSplit/>
        </w:trP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627"/>
    <w:bookmarkStart w:id="62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628"/>
    <w:bookmarkStart w:id="629"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Check</w:t>
            </w:r>
          </w:p>
        </w:tc>
        <w:tc>
          <w:tcPr/>
          <w:p>
            <w:pPr>
              <w:keepNext/>
              <w:pStyle w:val="Compact"/>
            </w:pPr>
            <w:r>
              <w:t xml:space="preserve">Scope</w:t>
            </w:r>
          </w:p>
        </w:tc>
        <w:tc>
          <w:tcPr/>
          <w:p>
            <w:pPr>
              <w:keepNext/>
              <w:pStyle w:val="Compact"/>
            </w:pPr>
            <w:r>
              <w:t xml:space="preserve">Agreement</w:t>
            </w:r>
          </w:p>
        </w:tc>
      </w:tr>
      <w:tr>
        <w:trPr>
          <w:cantSplit/>
        </w:trPr>
        <w:tc>
          <w:tcPr/>
          <w:p>
            <w:pPr>
              <w:keepNext/>
              <w:pStyle w:val="Compact"/>
            </w:pPr>
            <w:r>
              <w:t xml:space="preserve">Energy paths (MQMQA reference, ideal, excess; CEF; stoichiometric)</w:t>
            </w:r>
          </w:p>
        </w:tc>
        <w:tc>
          <w:tcPr/>
          <w:p>
            <w:pPr>
              <w:keepNext/>
              <w:pStyle w:val="Compact"/>
            </w:pPr>
            <w:r>
              <w:t xml:space="preserve">shared parameter sets, every phase model</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ChemSage reader</w:t>
            </w:r>
          </w:p>
        </w:tc>
        <w:tc>
          <w:tcPr/>
          <w:p>
            <w:pPr>
              <w:keepNext/>
              <w:pStyle w:val="Compact"/>
            </w:pPr>
            <w:r>
              <w:t xml:space="preserve">pycalphad’s open test databases, no pycalphad at runtime</w:t>
            </w:r>
          </w:p>
        </w:tc>
        <w:tc>
          <w:tcPr/>
          <w:p>
            <w:pPr>
              <w:keepNext/>
              <w:pStyle w:val="Compact"/>
            </w:pPr>
            <w:r>
              <w:t xml:space="preserve">energies reproduced to machine precision</w:t>
            </w:r>
          </w:p>
        </w:tc>
      </w:tr>
      <w:tr>
        <w:trPr>
          <w:cantSplit/>
        </w:trPr>
        <w:tc>
          <w:tcPr/>
          <w:p>
            <w:pPr>
              <w:keepNext/>
              <w:pStyle w:val="Compact"/>
            </w:pPr>
            <w:r>
              <w:t xml:space="preserve">CEF kernel</w:t>
            </w:r>
          </w:p>
        </w:tc>
        <w:tc>
          <w:tcPr/>
          <w:p>
            <w:pPr>
              <w:keepNext/>
              <w:pStyle w:val="Compact"/>
            </w:pPr>
            <w:r>
              <w:t xml:space="preserve">multicomponent industrial file with charges, vacancies, ln T terms</w:t>
            </w:r>
          </w:p>
        </w:tc>
        <w:tc>
          <w:tcPr/>
          <w:p>
            <w:pPr>
              <w:keepNext/>
              <w:pStyle w:val="Compact"/>
            </w:pPr>
            <w:r>
              <w:t xml:space="preserve">machine precision</w:t>
            </w:r>
          </w:p>
        </w:tc>
      </w:tr>
      <w:tr>
        <w:trPr>
          <w:cantSplit/>
        </w:trPr>
        <w:tc>
          <w:tcPr/>
          <w:p>
            <w:pPr>
              <w:keepNext/>
              <w:pStyle w:val="Compact"/>
            </w:pPr>
            <w:r>
              <w:t xml:space="preserve">Multiphase equilibrium</w:t>
            </w:r>
          </w:p>
        </w:tc>
        <w:tc>
          <w:tcPr/>
          <w:p>
            <w:pPr>
              <w:keepNext/>
              <w:pStyle w:val="Compact"/>
            </w:pPr>
            <w:r>
              <w:t xml:space="preserve">liquid + two solid solutions + three oxides, 16 probe points</w:t>
            </w:r>
          </w:p>
        </w:tc>
        <w:tc>
          <w:tcPr/>
          <w:p>
            <w:pPr>
              <w:keepNext/>
              <w:pStyle w:val="Compact"/>
            </w:pPr>
            <w:r>
              <w:t xml:space="preserve">phase sets at 15 of 16; Gibbs energies within ~10 J per mole of atoms</w:t>
            </w:r>
          </w:p>
        </w:tc>
      </w:tr>
      <w:tr>
        <w:trPr>
          <w:cantSplit/>
        </w:trPr>
        <w:tc>
          <w:tcPr/>
          <w:p>
            <w:pPr>
              <w:keepNext/>
              <w:pStyle w:val="Compact"/>
            </w:pPr>
            <w:r>
              <w:t xml:space="preserve">WebAssembly build</w:t>
            </w:r>
          </w:p>
        </w:tc>
        <w:tc>
          <w:tcPr/>
          <w:p>
            <w:pPr>
              <w:keepNext/>
              <w:pStyle w:val="Compact"/>
            </w:pPr>
            <w:r>
              <w:t xml:space="preserve">in-browser against the same oracle values</w:t>
            </w:r>
          </w:p>
        </w:tc>
        <w:tc>
          <w:tcPr/>
          <w:p>
            <w:pPr>
              <w:keepNext/>
              <w:pStyle w:val="Compact"/>
            </w:pPr>
            <w:r>
              <w:t xml:space="preserve">machine precision</w:t>
            </w:r>
          </w:p>
        </w:tc>
      </w:tr>
      <w:tr>
        <w:trPr>
          <w:cantSplit/>
        </w:trPr>
        <w:tc>
          <w:tcPr/>
          <w:p>
            <w:pPr>
              <w:keepNext/>
              <w:pStyle w:val="Compact"/>
            </w:pPr>
            <w:r>
              <w:t xml:space="preserve">TDB reader</w:t>
            </w:r>
          </w:p>
        </w:tc>
        <w:tc>
          <w:tcPr/>
          <w:p>
            <w:pPr>
              <w:keepNext/>
              <w:pStyle w:val="Compact"/>
            </w:pPr>
            <w:r>
              <w:t xml:space="preserve">pycalphad’s shipped alloy TDBs (Al-Zn, Pb-Sn, Al-Mg), every phase and line compound</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TDB magnetic model</w:t>
            </w:r>
          </w:p>
        </w:tc>
        <w:tc>
          <w:tcPr/>
          <w:p>
            <w:pPr>
              <w:keepNext/>
              <w:pStyle w:val="Compact"/>
            </w:pPr>
            <w:r>
              <w:t xml:space="preserve">pycalphad parity + measured pure-iron transitions</w:t>
            </w:r>
          </w:p>
        </w:tc>
        <w:tc>
          <w:tcPr/>
          <w:p>
            <w:pPr>
              <w:keepNext/>
              <w:pStyle w:val="Compact"/>
            </w:pPr>
            <w:r>
              <w:t xml:space="preserve">matches to 10</w:t>
            </w:r>
            <w:r>
              <w:rPr>
                <w:vertAlign w:val="superscript"/>
              </w:rPr>
              <w:t xml:space="preserve">-10</w:t>
            </w:r>
            <w:r>
              <w:t xml:space="preserve">; 1185/1668/1811 K</w:t>
            </w:r>
          </w:p>
        </w:tc>
      </w:tr>
      <w:tr>
        <w:trPr>
          <w:cantSplit/>
        </w:trP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629"/>
    <w:bookmarkEnd w:id="630"/>
    <w:bookmarkStart w:id="638" w:name="availability"/>
    <w:p>
      <w:pPr>
        <w:pStyle w:val="Heading2"/>
      </w:pPr>
      <w:r>
        <w:t xml:space="preserve">(2) Availability</w:t>
      </w:r>
    </w:p>
    <w:bookmarkStart w:id="63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631"/>
    <w:bookmarkStart w:id="63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632"/>
    <w:bookmarkStart w:id="63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633"/>
    <w:bookmarkStart w:id="634"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634"/>
    <w:bookmarkStart w:id="635" w:name="list-of-contributors"/>
    <w:p>
      <w:pPr>
        <w:pStyle w:val="Heading3"/>
      </w:pPr>
      <w:r>
        <w:t xml:space="preserve">List of contributors</w:t>
      </w:r>
    </w:p>
    <w:p>
      <w:pPr>
        <w:pStyle w:val="FirstParagraph"/>
      </w:pPr>
      <w:r>
        <w:t xml:space="preserve">Michael E. Bustamante (design, implementation, validation, data curation).</w:t>
      </w:r>
    </w:p>
    <w:bookmarkEnd w:id="635"/>
    <w:bookmarkStart w:id="63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636"/>
    <w:bookmarkStart w:id="637" w:name="language"/>
    <w:p>
      <w:pPr>
        <w:pStyle w:val="Heading3"/>
      </w:pPr>
      <w:r>
        <w:t xml:space="preserve">Language</w:t>
      </w:r>
    </w:p>
    <w:p>
      <w:pPr>
        <w:pStyle w:val="FirstParagraph"/>
      </w:pPr>
      <w:r>
        <w:t xml:space="preserve">English.</w:t>
      </w:r>
    </w:p>
    <w:bookmarkEnd w:id="637"/>
    <w:bookmarkEnd w:id="638"/>
    <w:bookmarkStart w:id="646"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645"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640" name="Picture"/>
            <a:graphic>
              <a:graphicData uri="http://schemas.openxmlformats.org/drawingml/2006/picture">
                <pic:pic>
                  <pic:nvPicPr>
                    <pic:cNvPr descr="figures/fig4_salt_example.png" id="641" name="Picture"/>
                    <pic:cNvPicPr>
                      <a:picLocks noChangeArrowheads="1" noChangeAspect="1"/>
                    </pic:cNvPicPr>
                  </pic:nvPicPr>
                  <pic:blipFill>
                    <a:blip r:embed="rId639"/>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643" name="Picture"/>
            <a:graphic>
              <a:graphicData uri="http://schemas.openxmlformats.org/drawingml/2006/picture">
                <pic:pic>
                  <pic:nvPicPr>
                    <pic:cNvPr descr="figures/fig5_alloy_example.png" id="644" name="Picture"/>
                    <pic:cNvPicPr>
                      <a:picLocks noChangeArrowheads="1" noChangeAspect="1"/>
                    </pic:cNvPicPr>
                  </pic:nvPicPr>
                  <pic:blipFill>
                    <a:blip r:embed="rId642"/>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645"/>
    <w:bookmarkEnd w:id="646"/>
    <w:bookmarkStart w:id="64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647"/>
    <w:bookmarkStart w:id="64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648"/>
    <w:bookmarkStart w:id="649" w:name="funding-statement"/>
    <w:p>
      <w:pPr>
        <w:pStyle w:val="Heading2"/>
      </w:pPr>
      <w:r>
        <w:t xml:space="preserve">Funding statement</w:t>
      </w:r>
    </w:p>
    <w:p>
      <w:pPr>
        <w:pStyle w:val="FirstParagraph"/>
      </w:pPr>
      <w:r>
        <w:t xml:space="preserve">The development of this software received no external funding.</w:t>
      </w:r>
    </w:p>
    <w:bookmarkEnd w:id="649"/>
    <w:bookmarkStart w:id="65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650"/>
    <w:bookmarkStart w:id="65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651"/>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16" Target="numbering.xml" /><Relationship Type="http://schemas.openxmlformats.org/officeDocument/2006/relationships/styles" Id="rId615" Target="styles.xml" /><Relationship Type="http://schemas.openxmlformats.org/officeDocument/2006/relationships/settings" Id="rId614" Target="settings.xml" /><Relationship Type="http://schemas.openxmlformats.org/officeDocument/2006/relationships/webSettings" Id="rId613" Target="webSettings.xml" /><Relationship Type="http://schemas.openxmlformats.org/officeDocument/2006/relationships/fontTable" Id="rId612" Target="fontTable.xml" /><Relationship Type="http://schemas.openxmlformats.org/officeDocument/2006/relationships/theme" Id="rId611" Target="theme/theme1.xml" /><Relationship Type="http://schemas.openxmlformats.org/officeDocument/2006/relationships/footnotes" Id="rId610" Target="footnotes.xml" /><Relationship Type="http://schemas.openxmlformats.org/officeDocument/2006/relationships/comments" Id="rId60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39" Target="media/rId639.png" /><Relationship Type="http://schemas.openxmlformats.org/officeDocument/2006/relationships/image" Id="rId642" Target="media/rId6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2026-09-03T20:42:29Z</dcterms:created>
  <dcterms:modified xsi:type="dcterms:W3CDTF">2026-09-03T20:42:29Z</dcterms:modified>
</cp:coreProperties>
</file>

<file path=docProps/custom.xml><?xml version="1.0" encoding="utf-8"?>
<Properties xmlns="http://schemas.openxmlformats.org/officeDocument/2006/custom-properties" xmlns:vt="http://schemas.openxmlformats.org/officeDocument/2006/docPropsVTypes"/>
</file>