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6.png" ContentType="image/png"/>
  <Override PartName="/word/media/rId349.png" ContentType="image/png"/>
  <Override PartName="/word/media/rId352.png" ContentType="image/png"/>
  <Override PartName="/word/media/rId367.png" ContentType="image/png"/>
  <Override PartName="/word/media/rId370.png" ContentType="image/png"/>
  <Override PartName="/word/media/rId312.png" ContentType="image/png"/>
  <Override PartName="/word/media/rId315.png" ContentType="image/png"/>
  <Override PartName="/word/media/rId318.png" ContentType="image/png"/>
  <Override PartName="/word/media/rId333.png" ContentType="image/png"/>
  <Override PartName="/word/media/rId336.png" ContentType="image/png"/>
  <Override PartName="/word/media/rId278.png" ContentType="image/png"/>
  <Override PartName="/word/media/rId281.png" ContentType="image/png"/>
  <Override PartName="/word/media/rId284.png" ContentType="image/png"/>
  <Override PartName="/word/media/rId299.png" ContentType="image/png"/>
  <Override PartName="/word/media/rId302.png" ContentType="image/png"/>
  <Override PartName="/word/media/rId244.png" ContentType="image/png"/>
  <Override PartName="/word/media/rId247.png" ContentType="image/png"/>
  <Override PartName="/word/media/rId250.png" ContentType="image/png"/>
  <Override PartName="/word/media/rId265.png" ContentType="image/png"/>
  <Override PartName="/word/media/rId268.png" ContentType="image/png"/>
  <Override PartName="/word/media/rId210.png" ContentType="image/png"/>
  <Override PartName="/word/media/rId213.png" ContentType="image/png"/>
  <Override PartName="/word/media/rId216.png" ContentType="image/png"/>
  <Override PartName="/word/media/rId231.png" ContentType="image/png"/>
  <Override PartName="/word/media/rId234.png" ContentType="image/png"/>
  <Override PartName="/word/media/rId176.png" ContentType="image/png"/>
  <Override PartName="/word/media/rId179.png" ContentType="image/png"/>
  <Override PartName="/word/media/rId182.png" ContentType="image/png"/>
  <Override PartName="/word/media/rId197.png" ContentType="image/png"/>
  <Override PartName="/word/media/rId200.png" ContentType="image/png"/>
  <Override PartName="/word/media/rId142.png" ContentType="image/png"/>
  <Override PartName="/word/media/rId145.png" ContentType="image/png"/>
  <Override PartName="/word/media/rId148.png" ContentType="image/png"/>
  <Override PartName="/word/media/rId163.png" ContentType="image/png"/>
  <Override PartName="/word/media/rId166.png" ContentType="image/png"/>
  <Override PartName="/word/media/rId108.png" ContentType="image/png"/>
  <Override PartName="/word/media/rId111.png" ContentType="image/png"/>
  <Override PartName="/word/media/rId114.png" ContentType="image/png"/>
  <Override PartName="/word/media/rId129.png" ContentType="image/png"/>
  <Override PartName="/word/media/rId132.png" ContentType="image/png"/>
  <Override PartName="/word/media/rId74.png" ContentType="image/png"/>
  <Override PartName="/word/media/rId77.png" ContentType="image/png"/>
  <Override PartName="/word/media/rId80.png" ContentType="image/png"/>
  <Override PartName="/word/media/rId95.png" ContentType="image/png"/>
  <Override PartName="/word/media/rId98.png" ContentType="image/png"/>
  <Override PartName="/word/media/rId58.png" ContentType="image/png"/>
  <Override PartName="/word/media/rId61.png" ContentType="image/png"/>
  <Override PartName="/word/media/rId64.png" ContentType="image/png"/>
  <Override PartName="/word/media/rId42.png" ContentType="image/png"/>
  <Override PartName="/word/media/rId45.png" ContentType="image/png"/>
  <Override PartName="/word/media/rId48.png" ContentType="image/png"/>
  <Override PartName="/word/media/rId26.png" ContentType="image/png"/>
  <Override PartName="/word/media/rId29.png" ContentType="image/png"/>
  <Override PartName="/word/media/rId32.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0" w:name="X8d9333365672ef576e8b4652660e7ce735de326"/>
    <w:p>
      <w:pPr>
        <w:pStyle w:val="Heading1"/>
      </w:pPr>
      <w:r>
        <w:t xml:space="preserve">Hephaestus: an open-source engine and database for the thermodynamics and phase diagrams of molten oxide slags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and it also reads the Thermo-Calc TDB dialect for alloy systems, so one zero-install page calculates across both of the field’s file families. It computes phase equilibria up to full ternary isothermal sections and liquidus projections, and Scheil-Gulliver solidification paths on any binary join. Every energy path is validated to machine precision against pycalphad. The companion database covers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assembled solely from published measurements with per-value provenance and documented limits. The code is MIT licensed and the database is CC BY 4.0.</w:t>
      </w:r>
    </w:p>
    <w:p>
      <w:pPr>
        <w:pStyle w:val="BodyText"/>
      </w:pPr>
      <w:r>
        <w:rPr>
          <w:b/>
          <w:bCs/>
        </w:rPr>
        <w:t xml:space="preserve">Keywords:</w:t>
      </w:r>
      <w:r>
        <w:t xml:space="preserve"> </w:t>
      </w:r>
      <w:r>
        <w:t xml:space="preserve">CALPHAD; molten slag; modified quasichemical model; thermodynamic database; phase diagram; WebAssembly; oxide melts; open data</w:t>
      </w:r>
    </w:p>
    <w:bookmarkStart w:id="358" w:name="overview"/>
    <w:p>
      <w:pPr>
        <w:pStyle w:val="Heading2"/>
      </w:pPr>
      <w:r>
        <w:t xml:space="preserve">(1) Overview</w:t>
      </w:r>
    </w:p>
    <w:bookmarkStart w:id="345"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module GUIs over licensed closed databases, powerful in expert hands and licensed for institutions,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 rather than a vendor request.</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tblHeader w:val="on"/>
        </w:trPr>
        <w:tc>
          <w:tcPr/>
          <w:p>
            <w:pPr>
              <w:pStyle w:val="Compact"/>
            </w:pPr>
            <w:r>
              <w:t xml:space="preserve">School</w:t>
            </w:r>
          </w:p>
        </w:tc>
        <w:tc>
          <w:tcPr/>
          <w:p>
            <w:pPr>
              <w:pStyle w:val="Compact"/>
            </w:pPr>
            <w:r>
              <w:t xml:space="preserve">Native containers</w:t>
            </w:r>
          </w:p>
        </w:tc>
        <w:tc>
          <w:tcPr/>
          <w:p>
            <w:pPr>
              <w:pStyle w:val="Compact"/>
            </w:pPr>
            <w:r>
              <w:t xml:space="preserve">Carried by</w:t>
            </w:r>
          </w:p>
        </w:tc>
      </w:tr>
      <w:tr>
        <w:tc>
          <w:tcPr/>
          <w:p>
            <w:pPr>
              <w:pStyle w:val="Compact"/>
            </w:pPr>
            <w:r>
              <w:t xml:space="preserve">CALPHAD, ChemSage lineage</w:t>
            </w:r>
          </w:p>
        </w:tc>
        <w:tc>
          <w:tcPr/>
          <w:p>
            <w:pPr>
              <w:pStyle w:val="Compact"/>
            </w:pPr>
            <w:r>
              <w:t xml:space="preserve">ChemSage .dat</w:t>
            </w:r>
          </w:p>
        </w:tc>
        <w:tc>
          <w:tcPr/>
          <w:p>
            <w:pPr>
              <w:pStyle w:val="Compact"/>
            </w:pPr>
            <w:r>
              <w:t xml:space="preserve">FactSage, ChemApp, Thermochimica; the only legacy carrier of MQMQA melts</w:t>
            </w:r>
          </w:p>
        </w:tc>
      </w:tr>
      <w:tr>
        <w:tc>
          <w:tcPr/>
          <w:p>
            <w:pPr>
              <w:pStyle w:val="Compact"/>
            </w:pPr>
            <w:r>
              <w:t xml:space="preserve">CALPHAD, Thermo-Calc lineage</w:t>
            </w:r>
          </w:p>
        </w:tc>
        <w:tc>
          <w:tcPr/>
          <w:p>
            <w:pPr>
              <w:pStyle w:val="Compact"/>
            </w:pPr>
            <w:r>
              <w:t xml:space="preserve">TDB</w:t>
            </w:r>
          </w:p>
        </w:tc>
        <w:tc>
          <w:tcPr/>
          <w:p>
            <w:pPr>
              <w:pStyle w:val="Compact"/>
            </w:pPr>
            <w:r>
              <w:t xml:space="preserve">Thermo-Calc, OpenCalphad, pycalphad; alloy CEF</w:t>
            </w:r>
          </w:p>
        </w:tc>
      </w:tr>
      <w:tr>
        <w:tc>
          <w:tcPr/>
          <w:p>
            <w:pPr>
              <w:pStyle w:val="Compact"/>
            </w:pPr>
            <w:r>
              <w:t xml:space="preserve">CALPHAD, XML successor</w:t>
            </w:r>
          </w:p>
        </w:tc>
        <w:tc>
          <w:tcPr/>
          <w:p>
            <w:pPr>
              <w:pStyle w:val="Compact"/>
            </w:pPr>
            <w:r>
              <w:t xml:space="preserve">XTDB [15]</w:t>
            </w:r>
          </w:p>
        </w:tc>
        <w:tc>
          <w:tcPr/>
          <w:p>
            <w:pPr>
              <w:pStyle w:val="Compact"/>
            </w:pPr>
            <w:r>
              <w:t xml:space="preserve">proposed unified schema, MQMQA included</w:t>
            </w:r>
          </w:p>
        </w:tc>
      </w:tr>
      <w:tr>
        <w:tc>
          <w:tcPr/>
          <w:p>
            <w:pPr>
              <w:pStyle w:val="Compact"/>
            </w:pPr>
            <w:r>
              <w:t xml:space="preserve">Geochemical / aqueous</w:t>
            </w:r>
          </w:p>
        </w:tc>
        <w:tc>
          <w:tcPr/>
          <w:p>
            <w:pPr>
              <w:pStyle w:val="Compact"/>
            </w:pPr>
            <w:r>
              <w:t xml:space="preserve">GEMS containers, PhreeqC data files</w:t>
            </w:r>
          </w:p>
        </w:tc>
        <w:tc>
          <w:tcPr/>
          <w:p>
            <w:pPr>
              <w:pStyle w:val="Compact"/>
            </w:pPr>
            <w:r>
              <w:t xml:space="preserve">GEM-Selektor behind CemGEMS [14]; speciation models</w:t>
            </w:r>
          </w:p>
        </w:tc>
      </w:tr>
      <w:tr>
        <w:tc>
          <w:tcPr/>
          <w:p>
            <w:pPr>
              <w:pStyle w:val="Compact"/>
            </w:pPr>
            <w:r>
              <w:t xml:space="preserve">Combustion / gas phase</w:t>
            </w:r>
          </w:p>
        </w:tc>
        <w:tc>
          <w:tcPr/>
          <w:p>
            <w:pPr>
              <w:pStyle w:val="Compact"/>
            </w:pPr>
            <w:r>
              <w:t xml:space="preserve">NASA-polynomial files (CHEMKIN, Cantera)</w:t>
            </w:r>
          </w:p>
        </w:tc>
        <w:tc>
          <w:tcPr/>
          <w:p>
            <w:pPr>
              <w:pStyle w:val="Compact"/>
            </w:pPr>
            <w:r>
              <w:t xml:space="preserve">ideal-gas and pure condensed species, no solution models</w:t>
            </w:r>
          </w:p>
        </w:tc>
      </w:tr>
      <w:t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and Supplementary Material S1 is a plain-language primer provided so that the non-programmer can learn enough to use the tool, starting at what a database file even is and ending at a first calculation and how to read it. Its closing section teaches what an assessment is built from, so a reader who wants to learn the craft and contribute data for open publication, or to arrive prepared to a first conversation about a commissioned file, knows beforehand exactly what is needed.</w:t>
      </w:r>
    </w:p>
    <w:bookmarkEnd w:id="345"/>
    <w:bookmarkStart w:id="355"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347" name="Picture"/>
            <a:graphic>
              <a:graphicData uri="http://schemas.openxmlformats.org/drawingml/2006/picture">
                <pic:pic>
                  <pic:nvPicPr>
                    <pic:cNvPr descr="figures/fig1_architecture.png" id="348" name="Picture"/>
                    <pic:cNvPicPr>
                      <a:picLocks noChangeArrowheads="1" noChangeAspect="1"/>
                    </pic:cNvPicPr>
                  </pic:nvPicPr>
                  <pic:blipFill>
                    <a:blip r:embed="rId346"/>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and Redlich-Kister interactions of any order; models outside the subset, such as the magnetic contribution,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release v0.2.0,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350" name="Picture"/>
            <a:graphic>
              <a:graphicData uri="http://schemas.openxmlformats.org/drawingml/2006/picture">
                <pic:pic>
                  <pic:nvPicPr>
                    <pic:cNvPr descr="figures/fig2_browser_app.png" id="351" name="Picture"/>
                    <pic:cNvPicPr>
                      <a:picLocks noChangeArrowheads="1" noChangeAspect="1"/>
                    </pic:cNvPicPr>
                  </pic:nvPicPr>
                  <pic:blipFill>
                    <a:blip r:embed="rId349"/>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(release v0.2.0,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353" name="Picture"/>
            <a:graphic>
              <a:graphicData uri="http://schemas.openxmlformats.org/drawingml/2006/picture">
                <pic:pic>
                  <pic:nvPicPr>
                    <pic:cNvPr descr="figures/fig3_ternary.png" id="354" name="Picture"/>
                    <pic:cNvPicPr>
                      <a:picLocks noChangeArrowheads="1" noChangeAspect="1"/>
                    </pic:cNvPicPr>
                  </pic:nvPicPr>
                  <pic:blipFill>
                    <a:blip r:embed="rId352"/>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[20,21]; bias-corrected melt-mixing enthalpies [27,28];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[24,25] from five studies, the measured consolute, and solution calorimetry [26]</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[22]</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355"/>
    <w:bookmarkStart w:id="356"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356"/>
    <w:bookmarkStart w:id="357"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87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r>
        <w:tc>
          <w:tcPr/>
          <w:p>
            <w:pPr>
              <w:pStyle w:val="Compact"/>
            </w:pPr>
            <w:r>
              <w:t xml:space="preserve">TDB reader</w:t>
            </w:r>
          </w:p>
        </w:tc>
        <w:tc>
          <w:tcPr/>
          <w:p>
            <w:pPr>
              <w:pStyle w:val="Compact"/>
            </w:pPr>
            <w:r>
              <w:t xml:space="preserve">pycalphad’s shipped alloy TDBs (Al-Zn, Pb-Sn, Al-Mg), every phase and line compound</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TDB scope guard</w:t>
            </w:r>
          </w:p>
        </w:tc>
        <w:tc>
          <w:tcPr/>
          <w:p>
            <w:pPr>
              <w:pStyle w:val="Compact"/>
            </w:pPr>
            <w:r>
              <w:t xml:space="preserve">magnetic and ionic-liquid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v0.3.0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357"/>
    <w:bookmarkEnd w:id="358"/>
    <w:bookmarkStart w:id="366" w:name="availability"/>
    <w:p>
      <w:pPr>
        <w:pStyle w:val="Heading2"/>
      </w:pPr>
      <w:r>
        <w:t xml:space="preserve">(2) Availability</w:t>
      </w:r>
    </w:p>
    <w:bookmarkStart w:id="359"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359"/>
    <w:bookmarkStart w:id="360"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360"/>
    <w:bookmarkStart w:id="361"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361"/>
    <w:bookmarkStart w:id="362"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362"/>
    <w:bookmarkStart w:id="363" w:name="list-of-contributors"/>
    <w:p>
      <w:pPr>
        <w:pStyle w:val="Heading3"/>
      </w:pPr>
      <w:r>
        <w:t xml:space="preserve">List of contributors</w:t>
      </w:r>
    </w:p>
    <w:p>
      <w:pPr>
        <w:pStyle w:val="FirstParagraph"/>
      </w:pPr>
      <w:r>
        <w:t xml:space="preserve">Michael E. Bustamante (design, implementation, validation, data curation).</w:t>
      </w:r>
    </w:p>
    <w:bookmarkEnd w:id="363"/>
    <w:bookmarkStart w:id="364"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https://github.com/odinzen/hephaestus-mqmqa-public/releases/tag/v0.3.0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v0.3.0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364"/>
    <w:bookmarkStart w:id="365" w:name="language"/>
    <w:p>
      <w:pPr>
        <w:pStyle w:val="Heading3"/>
      </w:pPr>
      <w:r>
        <w:t xml:space="preserve">Language</w:t>
      </w:r>
    </w:p>
    <w:p>
      <w:pPr>
        <w:pStyle w:val="FirstParagraph"/>
      </w:pPr>
      <w:r>
        <w:t xml:space="preserve">English.</w:t>
      </w:r>
    </w:p>
    <w:bookmarkEnd w:id="365"/>
    <w:bookmarkEnd w:id="366"/>
    <w:bookmarkStart w:id="374"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373"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368" name="Picture"/>
            <a:graphic>
              <a:graphicData uri="http://schemas.openxmlformats.org/drawingml/2006/picture">
                <pic:pic>
                  <pic:nvPicPr>
                    <pic:cNvPr descr="figures/fig4_salt_example.png" id="369" name="Picture"/>
                    <pic:cNvPicPr>
                      <a:picLocks noChangeArrowheads="1" noChangeAspect="1"/>
                    </pic:cNvPicPr>
                  </pic:nvPicPr>
                  <pic:blipFill>
                    <a:blip r:embed="rId367"/>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371" name="Picture"/>
            <a:graphic>
              <a:graphicData uri="http://schemas.openxmlformats.org/drawingml/2006/picture">
                <pic:pic>
                  <pic:nvPicPr>
                    <pic:cNvPr descr="figures/fig5_alloy_example.png" id="372" name="Picture"/>
                    <pic:cNvPicPr>
                      <a:picLocks noChangeArrowheads="1" noChangeAspect="1"/>
                    </pic:cNvPicPr>
                  </pic:nvPicPr>
                  <pic:blipFill>
                    <a:blip r:embed="rId370"/>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magnetic and ionic-liquid TDB models, and multicomponent Scheil on the same hull machinery. The repository also publishes an openly specified unified dialect (uTDB) that carries the MQMQA statements inside TDB grammar: a shipped demonstration file holds an alloy and a molten salt together, and a round-trip test asserts it reproduces the .dat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373"/>
    <w:bookmarkEnd w:id="374"/>
    <w:bookmarkStart w:id="375"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v0.3.0. The database files and their provenance records are in the repository’s data directory under CC BY 4.0.</w:t>
      </w:r>
    </w:p>
    <w:bookmarkEnd w:id="375"/>
    <w:bookmarkStart w:id="376"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376"/>
    <w:bookmarkStart w:id="377" w:name="funding-statement"/>
    <w:p>
      <w:pPr>
        <w:pStyle w:val="Heading2"/>
      </w:pPr>
      <w:r>
        <w:t xml:space="preserve">Funding statement</w:t>
      </w:r>
    </w:p>
    <w:p>
      <w:pPr>
        <w:pStyle w:val="FirstParagraph"/>
      </w:pPr>
      <w:r>
        <w:t xml:space="preserve">The development of this software received no external funding.</w:t>
      </w:r>
    </w:p>
    <w:bookmarkEnd w:id="377"/>
    <w:bookmarkStart w:id="378"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378"/>
    <w:bookmarkStart w:id="379"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379"/>
    <w:bookmarkEnd w:id="3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44" Target="numbering.xml" /><Relationship Type="http://schemas.openxmlformats.org/officeDocument/2006/relationships/styles" Id="rId343" Target="styles.xml" /><Relationship Type="http://schemas.openxmlformats.org/officeDocument/2006/relationships/settings" Id="rId342" Target="settings.xml" /><Relationship Type="http://schemas.openxmlformats.org/officeDocument/2006/relationships/webSettings" Id="rId341" Target="webSettings.xml" /><Relationship Type="http://schemas.openxmlformats.org/officeDocument/2006/relationships/fontTable" Id="rId340" Target="fontTable.xml" /><Relationship Type="http://schemas.openxmlformats.org/officeDocument/2006/relationships/theme" Id="rId339" Target="theme/theme1.xml" /><Relationship Type="http://schemas.openxmlformats.org/officeDocument/2006/relationships/footnotes" Id="rId338" Target="footnotes.xml" /><Relationship Type="http://schemas.openxmlformats.org/officeDocument/2006/relationships/comments" Id="rId33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67" Target="media/rId367.png" /><Relationship Type="http://schemas.openxmlformats.org/officeDocument/2006/relationships/image" Id="rId370" Target="media/rId3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2026-09-03T15:42:43Z</dcterms:created>
  <dcterms:modified xsi:type="dcterms:W3CDTF">2026-09-03T15:42:43Z</dcterms:modified>
</cp:coreProperties>
</file>

<file path=docProps/custom.xml><?xml version="1.0" encoding="utf-8"?>
<Properties xmlns="http://schemas.openxmlformats.org/officeDocument/2006/custom-properties" xmlns:vt="http://schemas.openxmlformats.org/officeDocument/2006/docPropsVTypes"/>
</file>