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E44E" w14:textId="77777777" w:rsidR="008D1530" w:rsidRDefault="00FA1A3E">
      <w:pPr>
        <w:spacing w:after="6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 xml:space="preserve">RF </w:t>
      </w:r>
      <w:r>
        <w:rPr>
          <w:rFonts w:eastAsia="Arial"/>
          <w:b/>
          <w:bCs/>
          <w:color w:val="1F4E79"/>
          <w:sz w:val="52"/>
          <w:szCs w:val="52"/>
        </w:rPr>
        <w:t>模型测试集回测报告</w:t>
      </w:r>
    </w:p>
    <w:p w14:paraId="28598F1B" w14:textId="77777777" w:rsidR="008D1530" w:rsidRDefault="00FA1A3E">
      <w:pPr>
        <w:spacing w:after="60"/>
        <w:jc w:val="center"/>
      </w:pPr>
      <w:r>
        <w:rPr>
          <w:rFonts w:eastAsia="Arial"/>
          <w:color w:val="595959"/>
          <w:sz w:val="19"/>
          <w:szCs w:val="19"/>
        </w:rPr>
        <w:t xml:space="preserve">Phase 2  ·  </w:t>
      </w:r>
      <w:r>
        <w:rPr>
          <w:rFonts w:eastAsia="Arial"/>
          <w:color w:val="595959"/>
          <w:sz w:val="19"/>
          <w:szCs w:val="19"/>
        </w:rPr>
        <w:t>测试集最终评估</w:t>
      </w:r>
      <w:r>
        <w:rPr>
          <w:rFonts w:eastAsia="Arial"/>
          <w:color w:val="595959"/>
          <w:sz w:val="19"/>
          <w:szCs w:val="19"/>
        </w:rPr>
        <w:t xml:space="preserve">  ·  n_estimators=200 | max_depth=8 | k=0.656</w:t>
      </w:r>
    </w:p>
    <w:p w14:paraId="0ED3C193" w14:textId="77777777" w:rsidR="008D1530" w:rsidRDefault="008D1530">
      <w:pPr>
        <w:pBdr>
          <w:bottom w:val="single" w:sz="4" w:space="0" w:color="BFBFBF"/>
        </w:pBdr>
        <w:spacing w:before="120" w:after="120"/>
      </w:pPr>
    </w:p>
    <w:p w14:paraId="6CB5D1CE" w14:textId="77777777" w:rsidR="008D1530" w:rsidRDefault="00FA1A3E">
      <w:pPr>
        <w:pStyle w:val="1"/>
      </w:pPr>
      <w:r>
        <w:t>一、测试集评估背景</w:t>
      </w:r>
    </w:p>
    <w:p w14:paraId="163ECEE3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本次评估基于全量训练集（</w:t>
      </w:r>
      <w:r>
        <w:rPr>
          <w:rFonts w:eastAsia="Arial"/>
          <w:color w:val="2C2C2C"/>
        </w:rPr>
        <w:t>90%</w:t>
      </w:r>
      <w:r>
        <w:rPr>
          <w:rFonts w:eastAsia="Arial"/>
          <w:color w:val="2C2C2C"/>
        </w:rPr>
        <w:t>）重新训练的最终模型，在此前严格锁定的测试集（后</w:t>
      </w:r>
      <w:r>
        <w:rPr>
          <w:rFonts w:eastAsia="Arial"/>
          <w:color w:val="2C2C2C"/>
        </w:rPr>
        <w:t>10%</w:t>
      </w:r>
      <w:r>
        <w:rPr>
          <w:rFonts w:eastAsia="Arial"/>
          <w:color w:val="2C2C2C"/>
        </w:rPr>
        <w:t>，约</w:t>
      </w:r>
      <w:r>
        <w:rPr>
          <w:rFonts w:eastAsia="Arial"/>
          <w:color w:val="2C2C2C"/>
        </w:rPr>
        <w:t>905</w:t>
      </w:r>
      <w:r>
        <w:rPr>
          <w:rFonts w:eastAsia="Arial"/>
          <w:color w:val="2C2C2C"/>
        </w:rPr>
        <w:t>个交易日）上一次性推断。使用</w:t>
      </w:r>
      <w:r>
        <w:rPr>
          <w:rFonts w:eastAsia="Arial"/>
          <w:color w:val="2C2C2C"/>
        </w:rPr>
        <w:t>52</w:t>
      </w:r>
      <w:r>
        <w:rPr>
          <w:rFonts w:eastAsia="Arial"/>
          <w:color w:val="2C2C2C"/>
        </w:rPr>
        <w:t>个衍生特征，仓位映射参数</w:t>
      </w:r>
      <w:r>
        <w:rPr>
          <w:rFonts w:eastAsia="Arial"/>
          <w:color w:val="2C2C2C"/>
        </w:rPr>
        <w:t xml:space="preserve"> k=0.656</w:t>
      </w:r>
      <w:r>
        <w:rPr>
          <w:rFonts w:eastAsia="Arial"/>
          <w:color w:val="2C2C2C"/>
        </w:rPr>
        <w:t>，策略收益定义为：</w:t>
      </w:r>
    </w:p>
    <w:p w14:paraId="0293A878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strat_ret = rf × (1 − position) + position × forward_returns</w:t>
      </w:r>
    </w:p>
    <w:p w14:paraId="75B2BA70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评估基准为同期</w:t>
      </w:r>
      <w:r>
        <w:rPr>
          <w:rFonts w:eastAsia="Arial"/>
          <w:color w:val="2C2C2C"/>
        </w:rPr>
        <w:t xml:space="preserve"> Buy &amp; Hold</w:t>
      </w:r>
      <w:r>
        <w:rPr>
          <w:rFonts w:eastAsia="Arial"/>
          <w:color w:val="2C2C2C"/>
        </w:rPr>
        <w:t>（</w:t>
      </w:r>
      <w:r>
        <w:rPr>
          <w:rFonts w:eastAsia="Arial"/>
          <w:color w:val="2C2C2C"/>
        </w:rPr>
        <w:t>position ≡ 1</w:t>
      </w:r>
      <w:r>
        <w:rPr>
          <w:rFonts w:eastAsia="Arial"/>
          <w:color w:val="2C2C2C"/>
        </w:rPr>
        <w:t>）。</w:t>
      </w:r>
    </w:p>
    <w:p w14:paraId="64A75964" w14:textId="77777777" w:rsidR="008D1530" w:rsidRDefault="00FA1A3E">
      <w:pPr>
        <w:pStyle w:val="1"/>
      </w:pPr>
      <w:r>
        <w:t>二、核心指标</w:t>
      </w:r>
    </w:p>
    <w:p w14:paraId="031D4818" w14:textId="77777777" w:rsidR="008D1530" w:rsidRDefault="008D1530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40"/>
        <w:gridCol w:w="1560"/>
        <w:gridCol w:w="3360"/>
      </w:tblGrid>
      <w:tr w:rsidR="008D1530" w14:paraId="55EC5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7060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DA70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策略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AB0B6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买入持有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0E88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8D1530" w14:paraId="57F53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1963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Adjusted Sharpe</w:t>
            </w:r>
            <w:r>
              <w:rPr>
                <w:rFonts w:eastAsia="Arial"/>
                <w:color w:val="2C2C2C"/>
                <w:sz w:val="18"/>
                <w:szCs w:val="18"/>
              </w:rPr>
              <w:t>（核心评分）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DF68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1E5C1E"/>
                <w:sz w:val="18"/>
                <w:szCs w:val="18"/>
              </w:rPr>
              <w:t>1.122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5699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0.870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FFCE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+0.25</w:t>
            </w:r>
            <w:r>
              <w:rPr>
                <w:rFonts w:eastAsia="Arial"/>
                <w:color w:val="2C2C2C"/>
                <w:sz w:val="18"/>
                <w:szCs w:val="18"/>
              </w:rPr>
              <w:t>，策略显著占优</w:t>
            </w:r>
          </w:p>
        </w:tc>
      </w:tr>
      <w:tr w:rsidR="008D1530" w14:paraId="20FA12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84DF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Sharpe</w:t>
            </w:r>
            <w:r>
              <w:rPr>
                <w:rFonts w:eastAsia="Arial"/>
                <w:color w:val="2C2C2C"/>
                <w:sz w:val="18"/>
                <w:szCs w:val="18"/>
              </w:rPr>
              <w:t>（原始年化）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4E81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2C2C2C"/>
                <w:sz w:val="18"/>
                <w:szCs w:val="18"/>
              </w:rPr>
              <w:t>1.241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8F7D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AC83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每单位总风险对应回报</w:t>
            </w:r>
          </w:p>
        </w:tc>
      </w:tr>
      <w:tr w:rsidR="008D1530" w14:paraId="18A6A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FA35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Sortino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86FE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2C2C2C"/>
                <w:sz w:val="18"/>
                <w:szCs w:val="18"/>
              </w:rPr>
              <w:t>1.520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798A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96F8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下行波动率更低</w:t>
            </w:r>
          </w:p>
        </w:tc>
      </w:tr>
      <w:tr w:rsidR="008D1530" w14:paraId="3E258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92E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Calmar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4BE9B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2C2C2C"/>
                <w:sz w:val="18"/>
                <w:szCs w:val="18"/>
              </w:rPr>
              <w:t>1.399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126F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E2CC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年化超额</w:t>
            </w:r>
            <w:r>
              <w:rPr>
                <w:rFonts w:eastAsia="Arial"/>
                <w:color w:val="2C2C2C"/>
                <w:sz w:val="18"/>
                <w:szCs w:val="18"/>
              </w:rPr>
              <w:t xml:space="preserve"> / </w:t>
            </w:r>
            <w:r>
              <w:rPr>
                <w:rFonts w:eastAsia="Arial"/>
                <w:color w:val="2C2C2C"/>
                <w:sz w:val="18"/>
                <w:szCs w:val="18"/>
              </w:rPr>
              <w:t>最大回撤</w:t>
            </w:r>
          </w:p>
        </w:tc>
      </w:tr>
      <w:tr w:rsidR="008D1530" w14:paraId="556A7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2975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最大回撤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4AB7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7B1C1C"/>
                <w:sz w:val="18"/>
                <w:szCs w:val="18"/>
              </w:rPr>
              <w:t>-15.7%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26D3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260D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单次最大亏损幅度</w:t>
            </w:r>
          </w:p>
        </w:tc>
      </w:tr>
      <w:tr w:rsidR="008D1530" w14:paraId="274E61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E826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胜率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DC8F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7B4F00"/>
                <w:sz w:val="18"/>
                <w:szCs w:val="18"/>
              </w:rPr>
              <w:t>51.7%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435F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8327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略高于随机水平</w:t>
            </w:r>
          </w:p>
        </w:tc>
      </w:tr>
      <w:tr w:rsidR="008D1530" w14:paraId="446DC8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F877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年化波动率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AD26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2C2C2C"/>
                <w:sz w:val="18"/>
                <w:szCs w:val="18"/>
              </w:rPr>
              <w:t>17.7%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3BF5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05D7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与市场波动率接近</w:t>
            </w:r>
          </w:p>
        </w:tc>
      </w:tr>
      <w:tr w:rsidR="008D1530" w14:paraId="68D39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FCB9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0B0A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2C2C2C"/>
                <w:sz w:val="18"/>
                <w:szCs w:val="18"/>
              </w:rPr>
              <w:t>0.059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638F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587D" w14:textId="4A0AED9A" w:rsidR="008D1530" w:rsidRPr="00050D02" w:rsidRDefault="00FA1A3E">
            <w:pPr>
              <w:rPr>
                <w:rFonts w:hint="eastAsia"/>
              </w:rPr>
            </w:pPr>
            <w:r>
              <w:rPr>
                <w:rFonts w:eastAsia="Arial"/>
                <w:color w:val="2C2C2C"/>
                <w:sz w:val="18"/>
                <w:szCs w:val="18"/>
              </w:rPr>
              <w:t>测试集</w:t>
            </w:r>
            <w:r w:rsidR="00050D02">
              <w:rPr>
                <w:rFonts w:ascii="宋体" w:eastAsia="宋体" w:hAnsi="宋体" w:cs="宋体" w:hint="eastAsia"/>
                <w:color w:val="2C2C2C"/>
                <w:sz w:val="18"/>
                <w:szCs w:val="18"/>
              </w:rPr>
              <w:t>信号有正相关</w:t>
            </w:r>
          </w:p>
        </w:tc>
      </w:tr>
      <w:tr w:rsidR="008D1530" w14:paraId="199D4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9BB8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ICIR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8EE1" w14:textId="77777777" w:rsidR="008D1530" w:rsidRDefault="00FA1A3E">
            <w:pPr>
              <w:jc w:val="center"/>
            </w:pPr>
            <w:r>
              <w:rPr>
                <w:rFonts w:eastAsia="Arial"/>
                <w:b/>
                <w:bCs/>
                <w:color w:val="1E5C1E"/>
                <w:sz w:val="18"/>
                <w:szCs w:val="18"/>
              </w:rPr>
              <w:t>0.613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0796" w14:textId="77777777" w:rsidR="008D1530" w:rsidRDefault="00FA1A3E">
            <w:pPr>
              <w:jc w:val="center"/>
            </w:pPr>
            <w:r>
              <w:rPr>
                <w:rFonts w:eastAsia="Arial"/>
                <w:color w:val="2C2C2C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C1A9" w14:textId="77777777" w:rsidR="008D1530" w:rsidRDefault="00FA1A3E">
            <w:r>
              <w:rPr>
                <w:rFonts w:eastAsia="Arial"/>
                <w:color w:val="2C2C2C"/>
                <w:sz w:val="18"/>
                <w:szCs w:val="18"/>
              </w:rPr>
              <w:t>信号强度跨期稳定</w:t>
            </w:r>
          </w:p>
        </w:tc>
      </w:tr>
    </w:tbl>
    <w:p w14:paraId="4163DAE9" w14:textId="77777777" w:rsidR="008D1530" w:rsidRDefault="008D1530">
      <w:pPr>
        <w:spacing w:before="120" w:after="80"/>
      </w:pPr>
    </w:p>
    <w:p w14:paraId="2ED1EFF7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关键结论：</w:t>
      </w:r>
      <w:r>
        <w:rPr>
          <w:rFonts w:eastAsia="Arial"/>
          <w:color w:val="2C2C2C"/>
        </w:rPr>
        <w:t xml:space="preserve"> Adjusted Sharpe 1.122 vs </w:t>
      </w:r>
      <w:r>
        <w:rPr>
          <w:rFonts w:eastAsia="Arial"/>
          <w:color w:val="2C2C2C"/>
        </w:rPr>
        <w:t>基准</w:t>
      </w:r>
      <w:r>
        <w:rPr>
          <w:rFonts w:eastAsia="Arial"/>
          <w:color w:val="2C2C2C"/>
        </w:rPr>
        <w:t xml:space="preserve"> 0.870</w:t>
      </w:r>
      <w:r>
        <w:rPr>
          <w:rFonts w:eastAsia="Arial"/>
          <w:color w:val="2C2C2C"/>
        </w:rPr>
        <w:t>，差值</w:t>
      </w:r>
      <w:r>
        <w:rPr>
          <w:rFonts w:eastAsia="Arial"/>
          <w:color w:val="2C2C2C"/>
        </w:rPr>
        <w:t xml:space="preserve"> +0.252</w:t>
      </w:r>
      <w:r>
        <w:rPr>
          <w:rFonts w:eastAsia="Arial"/>
          <w:color w:val="2C2C2C"/>
        </w:rPr>
        <w:t>。</w:t>
      </w:r>
      <w:r>
        <w:rPr>
          <w:rFonts w:eastAsia="Arial"/>
          <w:color w:val="2C2C2C"/>
        </w:rPr>
        <w:t>Raw Sharpe 1.241</w:t>
      </w:r>
      <w:r>
        <w:rPr>
          <w:rFonts w:eastAsia="Arial"/>
          <w:color w:val="2C2C2C"/>
        </w:rPr>
        <w:t>、</w:t>
      </w:r>
      <w:r>
        <w:rPr>
          <w:rFonts w:eastAsia="Arial"/>
          <w:color w:val="2C2C2C"/>
        </w:rPr>
        <w:t>Sortino 1.520</w:t>
      </w:r>
      <w:r>
        <w:rPr>
          <w:rFonts w:eastAsia="Arial"/>
          <w:color w:val="2C2C2C"/>
        </w:rPr>
        <w:t>，风险调整收益全面跑赢基准。</w:t>
      </w:r>
      <w:r>
        <w:rPr>
          <w:rFonts w:eastAsia="Arial"/>
          <w:color w:val="2C2C2C"/>
        </w:rPr>
        <w:t xml:space="preserve">Calmar 1.399 </w:t>
      </w:r>
      <w:r>
        <w:rPr>
          <w:rFonts w:eastAsia="Arial"/>
          <w:color w:val="2C2C2C"/>
        </w:rPr>
        <w:t>说明最大回撤（</w:t>
      </w:r>
      <w:r>
        <w:rPr>
          <w:rFonts w:eastAsia="Arial"/>
          <w:color w:val="2C2C2C"/>
        </w:rPr>
        <w:t>-15.7%</w:t>
      </w:r>
      <w:r>
        <w:rPr>
          <w:rFonts w:eastAsia="Arial"/>
          <w:color w:val="2C2C2C"/>
        </w:rPr>
        <w:t>）与年化超额收益的比值处于合理区间。</w:t>
      </w:r>
      <w:bookmarkStart w:id="0" w:name="OLE_LINK1"/>
      <w:r>
        <w:rPr>
          <w:rFonts w:eastAsia="Arial"/>
          <w:color w:val="2C2C2C"/>
        </w:rPr>
        <w:t>需注意</w:t>
      </w:r>
      <w:r>
        <w:rPr>
          <w:rFonts w:eastAsia="Arial"/>
          <w:color w:val="2C2C2C"/>
        </w:rPr>
        <w:t xml:space="preserve"> t_stat = -0.643</w:t>
      </w:r>
      <w:r>
        <w:rPr>
          <w:rFonts w:eastAsia="Arial"/>
          <w:color w:val="2C2C2C"/>
        </w:rPr>
        <w:t>（</w:t>
      </w:r>
      <w:r>
        <w:rPr>
          <w:rFonts w:eastAsia="Arial"/>
          <w:color w:val="2C2C2C"/>
        </w:rPr>
        <w:t>p = 0.520</w:t>
      </w:r>
      <w:r>
        <w:rPr>
          <w:rFonts w:eastAsia="Arial"/>
          <w:color w:val="2C2C2C"/>
        </w:rPr>
        <w:t>），超额收益在统计上不显著，样本量有限是主因。</w:t>
      </w:r>
    </w:p>
    <w:bookmarkEnd w:id="0"/>
    <w:p w14:paraId="46EFAFF8" w14:textId="77777777" w:rsidR="008D1530" w:rsidRDefault="00FA1A3E">
      <w:pPr>
        <w:pStyle w:val="1"/>
      </w:pPr>
      <w:r>
        <w:t>三、累积收益与超额表现</w:t>
      </w:r>
    </w:p>
    <w:p w14:paraId="743EA3BE" w14:textId="77777777" w:rsidR="008D1530" w:rsidRDefault="00FA1A3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9F3F53" wp14:editId="5F4D219A">
            <wp:extent cx="6400800" cy="2809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AA62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1</w:t>
      </w:r>
      <w:r>
        <w:rPr>
          <w:rFonts w:eastAsia="Arial"/>
          <w:i/>
          <w:iCs/>
          <w:color w:val="595959"/>
          <w:sz w:val="18"/>
          <w:szCs w:val="18"/>
        </w:rPr>
        <w:t>：累积收益曲线（</w:t>
      </w:r>
      <w:r>
        <w:rPr>
          <w:rFonts w:eastAsia="Arial"/>
          <w:i/>
          <w:iCs/>
          <w:color w:val="595959"/>
          <w:sz w:val="18"/>
          <w:szCs w:val="18"/>
        </w:rPr>
        <w:t>Growth of $1</w:t>
      </w:r>
      <w:r>
        <w:rPr>
          <w:rFonts w:eastAsia="Arial"/>
          <w:i/>
          <w:iCs/>
          <w:color w:val="595959"/>
          <w:sz w:val="18"/>
          <w:szCs w:val="18"/>
        </w:rPr>
        <w:t>）</w:t>
      </w:r>
      <w:r>
        <w:rPr>
          <w:rFonts w:eastAsia="Arial"/>
          <w:i/>
          <w:iCs/>
          <w:color w:val="595959"/>
          <w:sz w:val="18"/>
          <w:szCs w:val="18"/>
        </w:rPr>
        <w:t xml:space="preserve">— </w:t>
      </w:r>
      <w:r>
        <w:rPr>
          <w:rFonts w:eastAsia="Arial"/>
          <w:i/>
          <w:iCs/>
          <w:color w:val="595959"/>
          <w:sz w:val="18"/>
          <w:szCs w:val="18"/>
        </w:rPr>
        <w:t>策略</w:t>
      </w:r>
      <w:r>
        <w:rPr>
          <w:rFonts w:eastAsia="Arial"/>
          <w:i/>
          <w:iCs/>
          <w:color w:val="595959"/>
          <w:sz w:val="18"/>
          <w:szCs w:val="18"/>
        </w:rPr>
        <w:t xml:space="preserve"> vs Buy &amp; Hold</w:t>
      </w:r>
    </w:p>
    <w:p w14:paraId="40C13CE8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策略从测试期约第</w:t>
      </w:r>
      <w:r>
        <w:rPr>
          <w:rFonts w:eastAsia="Arial"/>
          <w:color w:val="2C2C2C"/>
        </w:rPr>
        <w:t>180</w:t>
      </w:r>
      <w:r>
        <w:rPr>
          <w:rFonts w:eastAsia="Arial"/>
          <w:color w:val="2C2C2C"/>
        </w:rPr>
        <w:t>天起持续领先基准，最终净值约</w:t>
      </w:r>
      <w:r>
        <w:rPr>
          <w:rFonts w:eastAsia="Arial"/>
          <w:color w:val="2C2C2C"/>
        </w:rPr>
        <w:t xml:space="preserve">2.20 vs </w:t>
      </w:r>
      <w:r>
        <w:rPr>
          <w:rFonts w:eastAsia="Arial"/>
          <w:color w:val="2C2C2C"/>
        </w:rPr>
        <w:t>基准</w:t>
      </w:r>
      <w:r>
        <w:rPr>
          <w:rFonts w:eastAsia="Arial"/>
          <w:color w:val="2C2C2C"/>
        </w:rPr>
        <w:t>1.75</w:t>
      </w:r>
      <w:r>
        <w:rPr>
          <w:rFonts w:eastAsia="Arial"/>
          <w:color w:val="2C2C2C"/>
        </w:rPr>
        <w:t>，累积超额收益约</w:t>
      </w:r>
      <w:r>
        <w:rPr>
          <w:rFonts w:eastAsia="Arial"/>
          <w:color w:val="2C2C2C"/>
        </w:rPr>
        <w:t>+45%</w:t>
      </w:r>
      <w:r>
        <w:rPr>
          <w:rFonts w:eastAsia="Arial"/>
          <w:color w:val="2C2C2C"/>
        </w:rPr>
        <w:t>。第</w:t>
      </w:r>
      <w:r>
        <w:rPr>
          <w:rFonts w:eastAsia="Arial"/>
          <w:color w:val="2C2C2C"/>
        </w:rPr>
        <w:t>600–660</w:t>
      </w:r>
      <w:r>
        <w:rPr>
          <w:rFonts w:eastAsia="Arial"/>
          <w:color w:val="2C2C2C"/>
        </w:rPr>
        <w:t>天出现显著回撤，两条曲线同步下挫，策略因仓位均值</w:t>
      </w:r>
      <w:r>
        <w:rPr>
          <w:rFonts w:eastAsia="Arial"/>
          <w:color w:val="2C2C2C"/>
        </w:rPr>
        <w:t>0.82</w:t>
      </w:r>
      <w:r>
        <w:rPr>
          <w:rFonts w:eastAsia="Arial"/>
          <w:color w:val="2C2C2C"/>
        </w:rPr>
        <w:t>偏保守，回撤幅度略小于基准。</w:t>
      </w:r>
    </w:p>
    <w:p w14:paraId="504A58D0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值得关注：</w:t>
      </w:r>
      <w:r>
        <w:rPr>
          <w:rFonts w:eastAsia="Arial"/>
          <w:color w:val="2C2C2C"/>
        </w:rPr>
        <w:t xml:space="preserve"> </w:t>
      </w:r>
      <w:r>
        <w:rPr>
          <w:rFonts w:eastAsia="Arial"/>
          <w:color w:val="2C2C2C"/>
        </w:rPr>
        <w:t>测试集前</w:t>
      </w:r>
      <w:r>
        <w:rPr>
          <w:rFonts w:eastAsia="Arial"/>
          <w:color w:val="2C2C2C"/>
        </w:rPr>
        <w:t>150</w:t>
      </w:r>
      <w:r>
        <w:rPr>
          <w:rFonts w:eastAsia="Arial"/>
          <w:color w:val="2C2C2C"/>
        </w:rPr>
        <w:t>天策略与基准几乎重叠，说明模型在这段时期信号微弱、动态调仓几乎无效，需结合仓位分布和滚动</w:t>
      </w:r>
      <w:r>
        <w:rPr>
          <w:rFonts w:eastAsia="Arial"/>
          <w:color w:val="2C2C2C"/>
        </w:rPr>
        <w:t>IC</w:t>
      </w:r>
      <w:r>
        <w:rPr>
          <w:rFonts w:eastAsia="Arial"/>
          <w:color w:val="2C2C2C"/>
        </w:rPr>
        <w:t>进一步确认。</w:t>
      </w:r>
    </w:p>
    <w:p w14:paraId="4F3DF6CF" w14:textId="77777777" w:rsidR="008D1530" w:rsidRDefault="00FA1A3E">
      <w:pPr>
        <w:pStyle w:val="1"/>
      </w:pPr>
      <w:r>
        <w:t>四、回撤分析</w:t>
      </w:r>
    </w:p>
    <w:p w14:paraId="17323579" w14:textId="77777777" w:rsidR="008D1530" w:rsidRDefault="00FA1A3E">
      <w:pPr>
        <w:spacing w:before="120" w:after="60"/>
        <w:jc w:val="center"/>
      </w:pPr>
      <w:r>
        <w:rPr>
          <w:noProof/>
        </w:rPr>
        <w:drawing>
          <wp:inline distT="0" distB="0" distL="0" distR="0" wp14:anchorId="2D0EF19B" wp14:editId="315786ED">
            <wp:extent cx="6400800" cy="2771775"/>
            <wp:effectExtent l="0" t="0" r="0" b="0"/>
            <wp:docPr id="175282440" name="图片 17528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275D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2</w:t>
      </w:r>
      <w:r>
        <w:rPr>
          <w:rFonts w:eastAsia="Arial"/>
          <w:i/>
          <w:iCs/>
          <w:color w:val="595959"/>
          <w:sz w:val="18"/>
          <w:szCs w:val="18"/>
        </w:rPr>
        <w:t>：回撤图</w:t>
      </w:r>
      <w:r>
        <w:rPr>
          <w:rFonts w:eastAsia="Arial"/>
          <w:i/>
          <w:iCs/>
          <w:color w:val="595959"/>
          <w:sz w:val="18"/>
          <w:szCs w:val="18"/>
        </w:rPr>
        <w:t xml:space="preserve"> — </w:t>
      </w:r>
      <w:r>
        <w:rPr>
          <w:rFonts w:eastAsia="Arial"/>
          <w:i/>
          <w:iCs/>
          <w:color w:val="595959"/>
          <w:sz w:val="18"/>
          <w:szCs w:val="18"/>
        </w:rPr>
        <w:t>策略从历史高点的跌幅</w:t>
      </w:r>
    </w:p>
    <w:p w14:paraId="5E0514C4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日内最大回撤</w:t>
      </w:r>
      <w:r>
        <w:rPr>
          <w:rFonts w:eastAsia="Arial"/>
          <w:color w:val="2C2C2C"/>
        </w:rPr>
        <w:t xml:space="preserve"> -15.7%</w:t>
      </w:r>
      <w:r>
        <w:rPr>
          <w:rFonts w:eastAsia="Arial"/>
          <w:color w:val="2C2C2C"/>
        </w:rPr>
        <w:t>，发生在</w:t>
      </w:r>
      <w:r>
        <w:rPr>
          <w:rFonts w:eastAsia="Arial"/>
          <w:color w:val="2C2C2C"/>
        </w:rPr>
        <w:t xml:space="preserve"> index 625–670</w:t>
      </w:r>
      <w:r>
        <w:rPr>
          <w:rFonts w:eastAsia="Arial"/>
          <w:color w:val="2C2C2C"/>
        </w:rPr>
        <w:t>（约</w:t>
      </w:r>
      <w:r>
        <w:rPr>
          <w:rFonts w:eastAsia="Arial"/>
          <w:color w:val="2C2C2C"/>
        </w:rPr>
        <w:t>40</w:t>
      </w:r>
      <w:r>
        <w:rPr>
          <w:rFonts w:eastAsia="Arial"/>
          <w:color w:val="2C2C2C"/>
        </w:rPr>
        <w:t>个交易日），对应月度收益图中最深的红柱</w:t>
      </w:r>
      <w:r>
        <w:rPr>
          <w:rFonts w:eastAsia="Arial"/>
          <w:color w:val="2C2C2C"/>
        </w:rPr>
        <w:lastRenderedPageBreak/>
        <w:t>（约</w:t>
      </w:r>
      <w:r>
        <w:rPr>
          <w:rFonts w:eastAsia="Arial"/>
          <w:color w:val="2C2C2C"/>
        </w:rPr>
        <w:t xml:space="preserve"> -5%</w:t>
      </w:r>
      <w:r>
        <w:rPr>
          <w:rFonts w:eastAsia="Arial"/>
          <w:color w:val="2C2C2C"/>
        </w:rPr>
        <w:t>）。其余时段回撤多控制在</w:t>
      </w:r>
      <w:r>
        <w:rPr>
          <w:rFonts w:eastAsia="Arial"/>
          <w:color w:val="2C2C2C"/>
        </w:rPr>
        <w:t xml:space="preserve"> -6% </w:t>
      </w:r>
      <w:r>
        <w:rPr>
          <w:rFonts w:eastAsia="Arial"/>
          <w:color w:val="2C2C2C"/>
        </w:rPr>
        <w:t>以内，整体回撤结构呈</w:t>
      </w:r>
      <w:r>
        <w:rPr>
          <w:rFonts w:eastAsia="Arial"/>
          <w:color w:val="2C2C2C"/>
        </w:rPr>
        <w:t>"</w:t>
      </w:r>
      <w:r>
        <w:rPr>
          <w:rFonts w:eastAsia="Arial"/>
          <w:color w:val="2C2C2C"/>
        </w:rPr>
        <w:t>多次小回撤</w:t>
      </w:r>
      <w:r>
        <w:rPr>
          <w:rFonts w:eastAsia="Arial"/>
          <w:color w:val="2C2C2C"/>
        </w:rPr>
        <w:t xml:space="preserve"> + </w:t>
      </w:r>
      <w:r>
        <w:rPr>
          <w:rFonts w:eastAsia="Arial"/>
          <w:color w:val="2C2C2C"/>
        </w:rPr>
        <w:t>一次较深回撤</w:t>
      </w:r>
      <w:r>
        <w:rPr>
          <w:rFonts w:eastAsia="Arial"/>
          <w:color w:val="2C2C2C"/>
        </w:rPr>
        <w:t>"</w:t>
      </w:r>
      <w:r>
        <w:rPr>
          <w:rFonts w:eastAsia="Arial"/>
          <w:color w:val="2C2C2C"/>
        </w:rPr>
        <w:t>的模式，与</w:t>
      </w:r>
      <w:r>
        <w:rPr>
          <w:rFonts w:eastAsia="Arial"/>
          <w:color w:val="2C2C2C"/>
        </w:rPr>
        <w:t xml:space="preserve"> Calmar 1.399 </w:t>
      </w:r>
      <w:r>
        <w:rPr>
          <w:rFonts w:eastAsia="Arial"/>
          <w:color w:val="2C2C2C"/>
        </w:rPr>
        <w:t>一致。</w:t>
      </w:r>
    </w:p>
    <w:p w14:paraId="03FA9852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风险点：</w:t>
      </w:r>
      <w:r>
        <w:rPr>
          <w:rFonts w:eastAsia="Arial"/>
          <w:color w:val="2C2C2C"/>
        </w:rPr>
        <w:t xml:space="preserve"> </w:t>
      </w:r>
      <w:r>
        <w:rPr>
          <w:rFonts w:eastAsia="Arial"/>
          <w:color w:val="2C2C2C"/>
        </w:rPr>
        <w:t>最大回撤事件期间滚动波动率同步飙升至</w:t>
      </w:r>
      <w:r>
        <w:rPr>
          <w:rFonts w:eastAsia="Arial"/>
          <w:color w:val="2C2C2C"/>
        </w:rPr>
        <w:t>35%</w:t>
      </w:r>
      <w:r>
        <w:rPr>
          <w:rFonts w:eastAsia="Arial"/>
          <w:color w:val="2C2C2C"/>
        </w:rPr>
        <w:t>，说明该时段市场波动急剧放大，策略未能有效降低仓位以对冲。这与</w:t>
      </w:r>
      <w:r>
        <w:rPr>
          <w:rFonts w:eastAsia="Arial"/>
          <w:color w:val="2C2C2C"/>
        </w:rPr>
        <w:t xml:space="preserve"> CV </w:t>
      </w:r>
      <w:r>
        <w:rPr>
          <w:rFonts w:eastAsia="Arial"/>
          <w:color w:val="2C2C2C"/>
        </w:rPr>
        <w:t>阶段</w:t>
      </w:r>
      <w:r>
        <w:rPr>
          <w:rFonts w:eastAsia="Arial"/>
          <w:color w:val="2C2C2C"/>
        </w:rPr>
        <w:t xml:space="preserve"> fold 3 </w:t>
      </w:r>
      <w:r>
        <w:rPr>
          <w:rFonts w:eastAsia="Arial"/>
          <w:color w:val="2C2C2C"/>
        </w:rPr>
        <w:t>的失效模式（体制切换）在结构上吻合。</w:t>
      </w:r>
    </w:p>
    <w:p w14:paraId="3FB23198" w14:textId="77777777" w:rsidR="008D1530" w:rsidRDefault="00FA1A3E">
      <w:pPr>
        <w:pStyle w:val="1"/>
      </w:pPr>
      <w:r>
        <w:t>五、月度收益分布</w:t>
      </w:r>
    </w:p>
    <w:p w14:paraId="322569B7" w14:textId="77777777" w:rsidR="008D1530" w:rsidRDefault="00FA1A3E">
      <w:pPr>
        <w:spacing w:before="120" w:after="60"/>
        <w:jc w:val="center"/>
      </w:pPr>
      <w:r>
        <w:rPr>
          <w:noProof/>
        </w:rPr>
        <w:drawing>
          <wp:inline distT="0" distB="0" distL="0" distR="0" wp14:anchorId="05DFEDBF" wp14:editId="7AB05BF9">
            <wp:extent cx="6400800" cy="2800350"/>
            <wp:effectExtent l="0" t="0" r="0" b="0"/>
            <wp:docPr id="746212254" name="图片 74621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4E9F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3</w:t>
      </w:r>
      <w:r>
        <w:rPr>
          <w:rFonts w:eastAsia="Arial"/>
          <w:i/>
          <w:iCs/>
          <w:color w:val="595959"/>
          <w:sz w:val="18"/>
          <w:szCs w:val="18"/>
        </w:rPr>
        <w:t>：月度收益柱状图（约</w:t>
      </w:r>
      <w:r>
        <w:rPr>
          <w:rFonts w:eastAsia="Arial"/>
          <w:i/>
          <w:iCs/>
          <w:color w:val="595959"/>
          <w:sz w:val="18"/>
          <w:szCs w:val="18"/>
        </w:rPr>
        <w:t>21</w:t>
      </w:r>
      <w:r>
        <w:rPr>
          <w:rFonts w:eastAsia="Arial"/>
          <w:i/>
          <w:iCs/>
          <w:color w:val="595959"/>
          <w:sz w:val="18"/>
          <w:szCs w:val="18"/>
        </w:rPr>
        <w:t>个月）</w:t>
      </w:r>
    </w:p>
    <w:p w14:paraId="43B60BFE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约</w:t>
      </w:r>
      <w:r>
        <w:rPr>
          <w:rFonts w:eastAsia="Arial"/>
          <w:color w:val="2C2C2C"/>
        </w:rPr>
        <w:t>21</w:t>
      </w:r>
      <w:r>
        <w:rPr>
          <w:rFonts w:eastAsia="Arial"/>
          <w:color w:val="2C2C2C"/>
        </w:rPr>
        <w:t>个月中亏损月份</w:t>
      </w:r>
      <w:r>
        <w:rPr>
          <w:rFonts w:eastAsia="Arial"/>
          <w:color w:val="2C2C2C"/>
        </w:rPr>
        <w:t>4</w:t>
      </w:r>
      <w:r>
        <w:rPr>
          <w:rFonts w:eastAsia="Arial"/>
          <w:color w:val="2C2C2C"/>
        </w:rPr>
        <w:t>个（胜率约</w:t>
      </w:r>
      <w:r>
        <w:rPr>
          <w:rFonts w:eastAsia="Arial"/>
          <w:color w:val="2C2C2C"/>
        </w:rPr>
        <w:t>81%</w:t>
      </w:r>
      <w:r>
        <w:rPr>
          <w:rFonts w:eastAsia="Arial"/>
          <w:color w:val="2C2C2C"/>
        </w:rPr>
        <w:t>），最大单月亏损约</w:t>
      </w:r>
      <w:r>
        <w:rPr>
          <w:rFonts w:eastAsia="Arial"/>
          <w:color w:val="2C2C2C"/>
        </w:rPr>
        <w:t xml:space="preserve"> -5%</w:t>
      </w:r>
      <w:r>
        <w:rPr>
          <w:rFonts w:eastAsia="Arial"/>
          <w:color w:val="2C2C2C"/>
        </w:rPr>
        <w:t>，最大单月收益约</w:t>
      </w:r>
      <w:r>
        <w:rPr>
          <w:rFonts w:eastAsia="Arial"/>
          <w:color w:val="2C2C2C"/>
        </w:rPr>
        <w:t>+12.5%</w:t>
      </w:r>
      <w:r>
        <w:rPr>
          <w:rFonts w:eastAsia="Arial"/>
          <w:color w:val="2C2C2C"/>
        </w:rPr>
        <w:t>。收益分布正偏，与残差分布的右偏特性（模型低估大涨）一致</w:t>
      </w:r>
      <w:r>
        <w:rPr>
          <w:rFonts w:eastAsia="Arial"/>
          <w:color w:val="2C2C2C"/>
        </w:rPr>
        <w:t>——</w:t>
      </w:r>
      <w:r>
        <w:rPr>
          <w:rFonts w:eastAsia="Arial"/>
          <w:color w:val="2C2C2C"/>
        </w:rPr>
        <w:t>策略在强势上涨月份能够跟上市场甚至超越，但在回撤月份减仓效果有限。</w:t>
      </w:r>
    </w:p>
    <w:p w14:paraId="39F6EE22" w14:textId="77777777" w:rsidR="008D1530" w:rsidRDefault="00FA1A3E">
      <w:pPr>
        <w:pStyle w:val="1"/>
      </w:pPr>
      <w:r>
        <w:t>六、滚动夏普：稳定性分析</w:t>
      </w:r>
    </w:p>
    <w:p w14:paraId="511A668B" w14:textId="77777777" w:rsidR="008D1530" w:rsidRDefault="00FA1A3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C56A5F" wp14:editId="628EB5B9">
            <wp:extent cx="6400800" cy="2819400"/>
            <wp:effectExtent l="0" t="0" r="0" b="0"/>
            <wp:docPr id="23251583" name="图片 23251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B450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4</w:t>
      </w:r>
      <w:r>
        <w:rPr>
          <w:rFonts w:eastAsia="Arial"/>
          <w:i/>
          <w:iCs/>
          <w:color w:val="595959"/>
          <w:sz w:val="18"/>
          <w:szCs w:val="18"/>
        </w:rPr>
        <w:t>：滚动夏普比率（</w:t>
      </w:r>
      <w:r>
        <w:rPr>
          <w:rFonts w:eastAsia="Arial"/>
          <w:i/>
          <w:iCs/>
          <w:color w:val="595959"/>
          <w:sz w:val="18"/>
          <w:szCs w:val="18"/>
        </w:rPr>
        <w:t>63</w:t>
      </w:r>
      <w:r>
        <w:rPr>
          <w:rFonts w:eastAsia="Arial"/>
          <w:i/>
          <w:iCs/>
          <w:color w:val="595959"/>
          <w:sz w:val="18"/>
          <w:szCs w:val="18"/>
        </w:rPr>
        <w:t>日窗口，年化）</w:t>
      </w:r>
      <w:r>
        <w:rPr>
          <w:rFonts w:eastAsia="Arial"/>
          <w:i/>
          <w:iCs/>
          <w:color w:val="595959"/>
          <w:sz w:val="18"/>
          <w:szCs w:val="18"/>
        </w:rPr>
        <w:t xml:space="preserve">— </w:t>
      </w:r>
      <w:r>
        <w:rPr>
          <w:rFonts w:eastAsia="Arial"/>
          <w:i/>
          <w:iCs/>
          <w:color w:val="595959"/>
          <w:sz w:val="18"/>
          <w:szCs w:val="18"/>
        </w:rPr>
        <w:t>均值</w:t>
      </w:r>
      <w:r>
        <w:rPr>
          <w:rFonts w:eastAsia="Arial"/>
          <w:i/>
          <w:iCs/>
          <w:color w:val="595959"/>
          <w:sz w:val="18"/>
          <w:szCs w:val="18"/>
        </w:rPr>
        <w:t xml:space="preserve"> 1.94</w:t>
      </w:r>
    </w:p>
    <w:p w14:paraId="39FE6EC1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滚动夏普均值</w:t>
      </w:r>
      <w:r>
        <w:rPr>
          <w:rFonts w:eastAsia="Arial"/>
          <w:color w:val="2C2C2C"/>
        </w:rPr>
        <w:t>1.94</w:t>
      </w:r>
      <w:r>
        <w:rPr>
          <w:rFonts w:eastAsia="Arial"/>
          <w:color w:val="2C2C2C"/>
        </w:rPr>
        <w:t>，但波动范围</w:t>
      </w:r>
      <w:r>
        <w:rPr>
          <w:rFonts w:eastAsia="Arial"/>
          <w:color w:val="2C2C2C"/>
        </w:rPr>
        <w:t xml:space="preserve"> -2 </w:t>
      </w:r>
      <w:r>
        <w:rPr>
          <w:rFonts w:eastAsia="Arial"/>
          <w:color w:val="2C2C2C"/>
        </w:rPr>
        <w:t>至</w:t>
      </w:r>
      <w:r>
        <w:rPr>
          <w:rFonts w:eastAsia="Arial"/>
          <w:color w:val="2C2C2C"/>
        </w:rPr>
        <w:t xml:space="preserve"> +6</w:t>
      </w:r>
      <w:r>
        <w:rPr>
          <w:rFonts w:eastAsia="Arial"/>
          <w:color w:val="2C2C2C"/>
        </w:rPr>
        <w:t>，标准差显著。可识别三段明显的负值时段：</w:t>
      </w:r>
    </w:p>
    <w:p w14:paraId="70EBA82B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index 0–50</w:t>
      </w:r>
      <w:r>
        <w:rPr>
          <w:rFonts w:eastAsia="Arial"/>
          <w:color w:val="2C2C2C"/>
        </w:rPr>
        <w:t>（测试期初）：模型冷启动，</w:t>
      </w:r>
      <w:r>
        <w:rPr>
          <w:rFonts w:eastAsia="Arial"/>
          <w:color w:val="2C2C2C"/>
        </w:rPr>
        <w:t xml:space="preserve">rolling_std </w:t>
      </w:r>
      <w:r>
        <w:rPr>
          <w:rFonts w:eastAsia="Arial"/>
          <w:color w:val="2C2C2C"/>
        </w:rPr>
        <w:t>窗口尚未稳定，仓位失真</w:t>
      </w:r>
    </w:p>
    <w:p w14:paraId="1B9F7375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index 470–490</w:t>
      </w:r>
      <w:r>
        <w:rPr>
          <w:rFonts w:eastAsia="Arial"/>
          <w:color w:val="2C2C2C"/>
        </w:rPr>
        <w:t>：短暂回落，对应图</w:t>
      </w:r>
      <w:r>
        <w:rPr>
          <w:rFonts w:eastAsia="Arial"/>
          <w:color w:val="2C2C2C"/>
        </w:rPr>
        <w:t>1</w:t>
      </w:r>
      <w:r>
        <w:rPr>
          <w:rFonts w:eastAsia="Arial"/>
          <w:color w:val="2C2C2C"/>
        </w:rPr>
        <w:t>中策略与基准短暂持平的区间</w:t>
      </w:r>
    </w:p>
    <w:p w14:paraId="4F1D1077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index 680–710</w:t>
      </w:r>
      <w:r>
        <w:rPr>
          <w:rFonts w:eastAsia="Arial"/>
          <w:color w:val="2C2C2C"/>
        </w:rPr>
        <w:t>：最大回撤事件延伸期，策略持续跑输</w:t>
      </w:r>
    </w:p>
    <w:p w14:paraId="290D9194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整体判断：</w:t>
      </w:r>
      <w:r>
        <w:rPr>
          <w:rFonts w:eastAsia="Arial"/>
          <w:color w:val="2C2C2C"/>
        </w:rPr>
        <w:t xml:space="preserve"> </w:t>
      </w:r>
      <w:r>
        <w:rPr>
          <w:rFonts w:eastAsia="Arial"/>
          <w:color w:val="2C2C2C"/>
        </w:rPr>
        <w:t>滚动夏普的高波动说明策略具有明显的市场状态依赖性，在趋势明确的行情中表现优秀，在快速反转或震荡行情中容易失效。这是体制感知特征未加入前的预期结果。</w:t>
      </w:r>
    </w:p>
    <w:p w14:paraId="0896A745" w14:textId="77777777" w:rsidR="008D1530" w:rsidRDefault="00FA1A3E">
      <w:pPr>
        <w:pStyle w:val="1"/>
      </w:pPr>
      <w:r>
        <w:t>七、波动率对比</w:t>
      </w:r>
    </w:p>
    <w:p w14:paraId="169BC701" w14:textId="77777777" w:rsidR="008D1530" w:rsidRDefault="00FA1A3E">
      <w:pPr>
        <w:spacing w:before="120" w:after="60"/>
        <w:jc w:val="center"/>
      </w:pPr>
      <w:r>
        <w:rPr>
          <w:noProof/>
        </w:rPr>
        <w:drawing>
          <wp:inline distT="0" distB="0" distL="0" distR="0" wp14:anchorId="17DE53AD" wp14:editId="473CC2AD">
            <wp:extent cx="6400800" cy="2828925"/>
            <wp:effectExtent l="0" t="0" r="0" b="0"/>
            <wp:docPr id="2123419197" name="图片 2123419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2908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5</w:t>
      </w:r>
      <w:r>
        <w:rPr>
          <w:rFonts w:eastAsia="Arial"/>
          <w:i/>
          <w:iCs/>
          <w:color w:val="595959"/>
          <w:sz w:val="18"/>
          <w:szCs w:val="18"/>
        </w:rPr>
        <w:t>：滚动年化波动率（</w:t>
      </w:r>
      <w:r>
        <w:rPr>
          <w:rFonts w:eastAsia="Arial"/>
          <w:i/>
          <w:iCs/>
          <w:color w:val="595959"/>
          <w:sz w:val="18"/>
          <w:szCs w:val="18"/>
        </w:rPr>
        <w:t>63</w:t>
      </w:r>
      <w:r>
        <w:rPr>
          <w:rFonts w:eastAsia="Arial"/>
          <w:i/>
          <w:iCs/>
          <w:color w:val="595959"/>
          <w:sz w:val="18"/>
          <w:szCs w:val="18"/>
        </w:rPr>
        <w:t>日）</w:t>
      </w:r>
      <w:r>
        <w:rPr>
          <w:rFonts w:eastAsia="Arial"/>
          <w:i/>
          <w:iCs/>
          <w:color w:val="595959"/>
          <w:sz w:val="18"/>
          <w:szCs w:val="18"/>
        </w:rPr>
        <w:t xml:space="preserve">— </w:t>
      </w:r>
      <w:r>
        <w:rPr>
          <w:rFonts w:eastAsia="Arial"/>
          <w:i/>
          <w:iCs/>
          <w:color w:val="595959"/>
          <w:sz w:val="18"/>
          <w:szCs w:val="18"/>
        </w:rPr>
        <w:t>策略</w:t>
      </w:r>
      <w:r>
        <w:rPr>
          <w:rFonts w:eastAsia="Arial"/>
          <w:i/>
          <w:iCs/>
          <w:color w:val="595959"/>
          <w:sz w:val="18"/>
          <w:szCs w:val="18"/>
        </w:rPr>
        <w:t xml:space="preserve"> vs Buy &amp; Hold</w:t>
      </w:r>
    </w:p>
    <w:p w14:paraId="12E9168A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lastRenderedPageBreak/>
        <w:t>测试期前</w:t>
      </w:r>
      <w:r>
        <w:rPr>
          <w:rFonts w:eastAsia="Arial"/>
          <w:color w:val="2C2C2C"/>
        </w:rPr>
        <w:t>100</w:t>
      </w:r>
      <w:r>
        <w:rPr>
          <w:rFonts w:eastAsia="Arial"/>
          <w:color w:val="2C2C2C"/>
        </w:rPr>
        <w:t>天策略波动率高达</w:t>
      </w:r>
      <w:r>
        <w:rPr>
          <w:rFonts w:eastAsia="Arial"/>
          <w:color w:val="2C2C2C"/>
        </w:rPr>
        <w:t>50%</w:t>
      </w:r>
      <w:r>
        <w:rPr>
          <w:rFonts w:eastAsia="Arial"/>
          <w:color w:val="2C2C2C"/>
        </w:rPr>
        <w:t>（基准</w:t>
      </w:r>
      <w:r>
        <w:rPr>
          <w:rFonts w:eastAsia="Arial"/>
          <w:color w:val="2C2C2C"/>
        </w:rPr>
        <w:t>28%</w:t>
      </w:r>
      <w:r>
        <w:rPr>
          <w:rFonts w:eastAsia="Arial"/>
          <w:color w:val="2C2C2C"/>
        </w:rPr>
        <w:t>），来源于冷启动阶段的极端仓位。此后两者收敛并长期吻合，说明策略在稳定运行后并未系统性放大市场风险。</w:t>
      </w:r>
    </w:p>
    <w:p w14:paraId="13125EB6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例外：</w:t>
      </w:r>
      <w:r>
        <w:rPr>
          <w:rFonts w:eastAsia="Arial"/>
          <w:color w:val="2C2C2C"/>
        </w:rPr>
        <w:t xml:space="preserve"> index 625–680</w:t>
      </w:r>
      <w:r>
        <w:rPr>
          <w:rFonts w:eastAsia="Arial"/>
          <w:color w:val="2C2C2C"/>
        </w:rPr>
        <w:t>策略波动率约</w:t>
      </w:r>
      <w:r>
        <w:rPr>
          <w:rFonts w:eastAsia="Arial"/>
          <w:color w:val="2C2C2C"/>
        </w:rPr>
        <w:t>35%</w:t>
      </w:r>
      <w:r>
        <w:rPr>
          <w:rFonts w:eastAsia="Arial"/>
          <w:color w:val="2C2C2C"/>
        </w:rPr>
        <w:t>（基准</w:t>
      </w:r>
      <w:r>
        <w:rPr>
          <w:rFonts w:eastAsia="Arial"/>
          <w:color w:val="2C2C2C"/>
        </w:rPr>
        <w:t>25%</w:t>
      </w:r>
      <w:r>
        <w:rPr>
          <w:rFonts w:eastAsia="Arial"/>
          <w:color w:val="2C2C2C"/>
        </w:rPr>
        <w:t>），策略在回撤事件期间反而产生了超额波动。这与仓位均值</w:t>
      </w:r>
      <w:r>
        <w:rPr>
          <w:rFonts w:eastAsia="Arial"/>
          <w:color w:val="2C2C2C"/>
        </w:rPr>
        <w:t>0.82</w:t>
      </w:r>
      <w:r>
        <w:rPr>
          <w:rFonts w:eastAsia="Arial"/>
          <w:color w:val="2C2C2C"/>
        </w:rPr>
        <w:t>偏保守矛盾</w:t>
      </w:r>
      <w:r>
        <w:rPr>
          <w:rFonts w:eastAsia="Arial"/>
          <w:color w:val="2C2C2C"/>
        </w:rPr>
        <w:t>——</w:t>
      </w:r>
      <w:r>
        <w:rPr>
          <w:rFonts w:eastAsia="Arial"/>
          <w:color w:val="2C2C2C"/>
        </w:rPr>
        <w:t>可能是该时段仓位在</w:t>
      </w:r>
      <w:r>
        <w:rPr>
          <w:rFonts w:eastAsia="Arial"/>
          <w:color w:val="2C2C2C"/>
        </w:rPr>
        <w:t>0</w:t>
      </w:r>
      <w:r>
        <w:rPr>
          <w:rFonts w:eastAsia="Arial"/>
          <w:color w:val="2C2C2C"/>
        </w:rPr>
        <w:t>和</w:t>
      </w:r>
      <w:r>
        <w:rPr>
          <w:rFonts w:eastAsia="Arial"/>
          <w:color w:val="2C2C2C"/>
        </w:rPr>
        <w:t>2</w:t>
      </w:r>
      <w:r>
        <w:rPr>
          <w:rFonts w:eastAsia="Arial"/>
          <w:color w:val="2C2C2C"/>
        </w:rPr>
        <w:t>之间频繁切换（见仓位分布的双峰特征），造成换手放大了实现波动率。</w:t>
      </w:r>
    </w:p>
    <w:p w14:paraId="42C836E5" w14:textId="77777777" w:rsidR="008D1530" w:rsidRDefault="00FA1A3E">
      <w:pPr>
        <w:pStyle w:val="1"/>
      </w:pPr>
      <w:r>
        <w:t>八、仓位分布</w:t>
      </w:r>
    </w:p>
    <w:p w14:paraId="15EED3AC" w14:textId="77777777" w:rsidR="008D1530" w:rsidRDefault="00FA1A3E">
      <w:pPr>
        <w:spacing w:before="120" w:after="60"/>
        <w:jc w:val="center"/>
      </w:pPr>
      <w:r>
        <w:rPr>
          <w:noProof/>
        </w:rPr>
        <w:drawing>
          <wp:inline distT="0" distB="0" distL="0" distR="0" wp14:anchorId="010554D9" wp14:editId="4494AED2">
            <wp:extent cx="6400800" cy="2981325"/>
            <wp:effectExtent l="0" t="0" r="0" b="0"/>
            <wp:docPr id="825900660" name="图片 825900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3738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6</w:t>
      </w:r>
      <w:r>
        <w:rPr>
          <w:rFonts w:eastAsia="Arial"/>
          <w:i/>
          <w:iCs/>
          <w:color w:val="595959"/>
          <w:sz w:val="18"/>
          <w:szCs w:val="18"/>
        </w:rPr>
        <w:t>：仓位分布直方图</w:t>
      </w:r>
      <w:r>
        <w:rPr>
          <w:rFonts w:eastAsia="Arial"/>
          <w:i/>
          <w:iCs/>
          <w:color w:val="595959"/>
          <w:sz w:val="18"/>
          <w:szCs w:val="18"/>
        </w:rPr>
        <w:t xml:space="preserve"> — </w:t>
      </w:r>
      <w:r>
        <w:rPr>
          <w:rFonts w:eastAsia="Arial"/>
          <w:i/>
          <w:iCs/>
          <w:color w:val="595959"/>
          <w:sz w:val="18"/>
          <w:szCs w:val="18"/>
        </w:rPr>
        <w:t>中性仓位</w:t>
      </w:r>
      <w:r>
        <w:rPr>
          <w:rFonts w:eastAsia="Arial"/>
          <w:i/>
          <w:iCs/>
          <w:color w:val="595959"/>
          <w:sz w:val="18"/>
          <w:szCs w:val="18"/>
        </w:rPr>
        <w:t xml:space="preserve"> 1.0</w:t>
      </w:r>
      <w:r>
        <w:rPr>
          <w:rFonts w:eastAsia="Arial"/>
          <w:i/>
          <w:iCs/>
          <w:color w:val="595959"/>
          <w:sz w:val="18"/>
          <w:szCs w:val="18"/>
        </w:rPr>
        <w:t>，均值</w:t>
      </w:r>
      <w:r>
        <w:rPr>
          <w:rFonts w:eastAsia="Arial"/>
          <w:i/>
          <w:iCs/>
          <w:color w:val="595959"/>
          <w:sz w:val="18"/>
          <w:szCs w:val="18"/>
        </w:rPr>
        <w:t xml:space="preserve"> 0.82</w:t>
      </w:r>
    </w:p>
    <w:p w14:paraId="28C208A2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仓位分布呈现三峰结构：</w:t>
      </w:r>
      <w:r>
        <w:rPr>
          <w:rFonts w:eastAsia="Arial"/>
          <w:color w:val="2C2C2C"/>
        </w:rPr>
        <w:t>0</w:t>
      </w:r>
      <w:r>
        <w:rPr>
          <w:rFonts w:eastAsia="Arial"/>
          <w:color w:val="2C2C2C"/>
        </w:rPr>
        <w:t>附近（</w:t>
      </w:r>
      <w:r>
        <w:rPr>
          <w:rFonts w:eastAsia="Arial"/>
          <w:color w:val="2C2C2C"/>
        </w:rPr>
        <w:t>59</w:t>
      </w:r>
      <w:r>
        <w:rPr>
          <w:rFonts w:eastAsia="Arial"/>
          <w:color w:val="2C2C2C"/>
        </w:rPr>
        <w:t>个样本）、</w:t>
      </w:r>
      <w:r>
        <w:rPr>
          <w:rFonts w:eastAsia="Arial"/>
          <w:color w:val="2C2C2C"/>
        </w:rPr>
        <w:t>0.5</w:t>
      </w:r>
      <w:r>
        <w:rPr>
          <w:rFonts w:eastAsia="Arial"/>
          <w:color w:val="2C2C2C"/>
        </w:rPr>
        <w:t>附近宽峰、以及</w:t>
      </w:r>
      <w:r>
        <w:rPr>
          <w:rFonts w:eastAsia="Arial"/>
          <w:color w:val="2C2C2C"/>
        </w:rPr>
        <w:t>2.0</w:t>
      </w:r>
      <w:r>
        <w:rPr>
          <w:rFonts w:eastAsia="Arial"/>
          <w:color w:val="2C2C2C"/>
        </w:rPr>
        <w:t>上限（</w:t>
      </w:r>
      <w:r>
        <w:rPr>
          <w:rFonts w:eastAsia="Arial"/>
          <w:color w:val="2C2C2C"/>
        </w:rPr>
        <w:t>55</w:t>
      </w:r>
      <w:r>
        <w:rPr>
          <w:rFonts w:eastAsia="Arial"/>
          <w:color w:val="2C2C2C"/>
        </w:rPr>
        <w:t>个样本）。这说明模型输出的信号强度分布是双峰的</w:t>
      </w:r>
      <w:r>
        <w:rPr>
          <w:rFonts w:eastAsia="Arial"/>
          <w:color w:val="2C2C2C"/>
        </w:rPr>
        <w:t>——</w:t>
      </w:r>
      <w:r>
        <w:rPr>
          <w:rFonts w:eastAsia="Arial"/>
          <w:color w:val="2C2C2C"/>
        </w:rPr>
        <w:t>大量预测值接近临界，被映射为极端仓位（近</w:t>
      </w:r>
      <w:r>
        <w:rPr>
          <w:rFonts w:eastAsia="Arial"/>
          <w:color w:val="2C2C2C"/>
        </w:rPr>
        <w:t>0</w:t>
      </w:r>
      <w:r>
        <w:rPr>
          <w:rFonts w:eastAsia="Arial"/>
          <w:color w:val="2C2C2C"/>
        </w:rPr>
        <w:t>或满</w:t>
      </w:r>
      <w:r>
        <w:rPr>
          <w:rFonts w:eastAsia="Arial"/>
          <w:color w:val="2C2C2C"/>
        </w:rPr>
        <w:t>2</w:t>
      </w:r>
      <w:r>
        <w:rPr>
          <w:rFonts w:eastAsia="Arial"/>
          <w:color w:val="2C2C2C"/>
        </w:rPr>
        <w:t>）。</w:t>
      </w:r>
    </w:p>
    <w:p w14:paraId="36D1E58D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均值</w:t>
      </w:r>
      <w:r>
        <w:rPr>
          <w:rFonts w:eastAsia="Arial"/>
          <w:b/>
          <w:bCs/>
          <w:color w:val="2C2C2C"/>
        </w:rPr>
        <w:t>0.82</w:t>
      </w:r>
      <w:r>
        <w:rPr>
          <w:rFonts w:eastAsia="Arial"/>
          <w:b/>
          <w:bCs/>
          <w:color w:val="2C2C2C"/>
        </w:rPr>
        <w:t>的含义：</w:t>
      </w:r>
      <w:r>
        <w:rPr>
          <w:rFonts w:eastAsia="Arial"/>
          <w:color w:val="2C2C2C"/>
        </w:rPr>
        <w:t xml:space="preserve"> </w:t>
      </w:r>
      <w:r>
        <w:rPr>
          <w:rFonts w:eastAsia="Arial"/>
          <w:color w:val="2C2C2C"/>
        </w:rPr>
        <w:t>模型在测试集内整体偏空，较多时段给出低于中性的仓位，这在累积收益图前段（策略与基准重叠）中有所体现。极端空仓（</w:t>
      </w:r>
      <w:r>
        <w:rPr>
          <w:rFonts w:eastAsia="Arial"/>
          <w:color w:val="2C2C2C"/>
        </w:rPr>
        <w:t>0</w:t>
      </w:r>
      <w:r>
        <w:rPr>
          <w:rFonts w:eastAsia="Arial"/>
          <w:color w:val="2C2C2C"/>
        </w:rPr>
        <w:t>附近）的</w:t>
      </w:r>
      <w:r>
        <w:rPr>
          <w:rFonts w:eastAsia="Arial"/>
          <w:color w:val="2C2C2C"/>
        </w:rPr>
        <w:t>59</w:t>
      </w:r>
      <w:r>
        <w:rPr>
          <w:rFonts w:eastAsia="Arial"/>
          <w:color w:val="2C2C2C"/>
        </w:rPr>
        <w:t>个交易日约占测试集的</w:t>
      </w:r>
      <w:r>
        <w:rPr>
          <w:rFonts w:eastAsia="Arial"/>
          <w:color w:val="2C2C2C"/>
        </w:rPr>
        <w:t>6.5%</w:t>
      </w:r>
      <w:r>
        <w:rPr>
          <w:rFonts w:eastAsia="Arial"/>
          <w:color w:val="2C2C2C"/>
        </w:rPr>
        <w:t>，是策略能在回撤期少亏的来源之一。</w:t>
      </w:r>
    </w:p>
    <w:p w14:paraId="2D601CA1" w14:textId="77777777" w:rsidR="008D1530" w:rsidRDefault="00FA1A3E">
      <w:pPr>
        <w:pStyle w:val="1"/>
      </w:pPr>
      <w:r>
        <w:t>九、信号质量：</w:t>
      </w:r>
      <w:r>
        <w:t xml:space="preserve">IC </w:t>
      </w:r>
      <w:r>
        <w:t>分析</w:t>
      </w:r>
    </w:p>
    <w:p w14:paraId="5B370E20" w14:textId="77777777" w:rsidR="008D1530" w:rsidRDefault="00FA1A3E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7038BA7" wp14:editId="7E11510B">
            <wp:extent cx="6400800" cy="2857500"/>
            <wp:effectExtent l="0" t="0" r="0" b="0"/>
            <wp:docPr id="823032596" name="图片 82303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BFF5" w14:textId="77777777" w:rsidR="008D1530" w:rsidRDefault="00FA1A3E">
      <w:pPr>
        <w:spacing w:after="200"/>
        <w:jc w:val="center"/>
      </w:pPr>
      <w:r>
        <w:rPr>
          <w:rFonts w:eastAsia="Arial"/>
          <w:i/>
          <w:iCs/>
          <w:color w:val="595959"/>
          <w:sz w:val="18"/>
          <w:szCs w:val="18"/>
        </w:rPr>
        <w:t>图</w:t>
      </w:r>
      <w:r>
        <w:rPr>
          <w:rFonts w:eastAsia="Arial"/>
          <w:i/>
          <w:iCs/>
          <w:color w:val="595959"/>
          <w:sz w:val="18"/>
          <w:szCs w:val="18"/>
        </w:rPr>
        <w:t>7</w:t>
      </w:r>
      <w:r>
        <w:rPr>
          <w:rFonts w:eastAsia="Arial"/>
          <w:i/>
          <w:iCs/>
          <w:color w:val="595959"/>
          <w:sz w:val="18"/>
          <w:szCs w:val="18"/>
        </w:rPr>
        <w:t>：</w:t>
      </w:r>
      <w:r>
        <w:rPr>
          <w:rFonts w:eastAsia="Arial"/>
          <w:i/>
          <w:iCs/>
          <w:color w:val="595959"/>
          <w:sz w:val="18"/>
          <w:szCs w:val="18"/>
        </w:rPr>
        <w:t xml:space="preserve">Prediction vs Actual </w:t>
      </w:r>
      <w:r>
        <w:rPr>
          <w:rFonts w:eastAsia="Arial"/>
          <w:i/>
          <w:iCs/>
          <w:color w:val="595959"/>
          <w:sz w:val="18"/>
          <w:szCs w:val="18"/>
        </w:rPr>
        <w:t>散点图</w:t>
      </w:r>
      <w:r>
        <w:rPr>
          <w:rFonts w:eastAsia="Arial"/>
          <w:i/>
          <w:iCs/>
          <w:color w:val="595959"/>
          <w:sz w:val="18"/>
          <w:szCs w:val="18"/>
        </w:rPr>
        <w:t xml:space="preserve"> — IC = 0.093</w:t>
      </w:r>
      <w:r>
        <w:rPr>
          <w:rFonts w:eastAsia="Arial"/>
          <w:i/>
          <w:iCs/>
          <w:color w:val="595959"/>
          <w:sz w:val="18"/>
          <w:szCs w:val="18"/>
        </w:rPr>
        <w:t>，</w:t>
      </w:r>
      <w:r>
        <w:rPr>
          <w:rFonts w:eastAsia="Arial"/>
          <w:i/>
          <w:iCs/>
          <w:color w:val="595959"/>
          <w:sz w:val="18"/>
          <w:szCs w:val="18"/>
        </w:rPr>
        <w:t>ICIR = 0.613</w:t>
      </w:r>
    </w:p>
    <w:p w14:paraId="45420E25" w14:textId="77777777" w:rsidR="008D1530" w:rsidRDefault="00FA1A3E">
      <w:pPr>
        <w:spacing w:before="60" w:after="80" w:line="320" w:lineRule="auto"/>
      </w:pPr>
      <w:r>
        <w:rPr>
          <w:rFonts w:eastAsia="Arial"/>
          <w:color w:val="2C2C2C"/>
        </w:rPr>
        <w:t>测试集</w:t>
      </w:r>
      <w:r>
        <w:rPr>
          <w:rFonts w:eastAsia="Arial"/>
          <w:color w:val="2C2C2C"/>
        </w:rPr>
        <w:t xml:space="preserve"> IC = 0.093</w:t>
      </w:r>
      <w:r>
        <w:rPr>
          <w:rFonts w:eastAsia="Arial"/>
          <w:color w:val="2C2C2C"/>
        </w:rPr>
        <w:t>，高于</w:t>
      </w:r>
      <w:r>
        <w:rPr>
          <w:rFonts w:eastAsia="Arial"/>
          <w:color w:val="2C2C2C"/>
        </w:rPr>
        <w:t xml:space="preserve"> CV </w:t>
      </w:r>
      <w:r>
        <w:rPr>
          <w:rFonts w:eastAsia="Arial"/>
          <w:color w:val="2C2C2C"/>
        </w:rPr>
        <w:t>阶段均值（</w:t>
      </w:r>
      <w:r>
        <w:rPr>
          <w:rFonts w:eastAsia="Arial"/>
          <w:color w:val="2C2C2C"/>
        </w:rPr>
        <w:t>0.038</w:t>
      </w:r>
      <w:r>
        <w:rPr>
          <w:rFonts w:eastAsia="Arial"/>
          <w:color w:val="2C2C2C"/>
        </w:rPr>
        <w:t>），</w:t>
      </w:r>
      <w:r>
        <w:rPr>
          <w:rFonts w:eastAsia="Arial"/>
          <w:color w:val="2C2C2C"/>
        </w:rPr>
        <w:t xml:space="preserve">ICIR = 0.613 </w:t>
      </w:r>
      <w:r>
        <w:rPr>
          <w:rFonts w:eastAsia="Arial"/>
          <w:color w:val="2C2C2C"/>
        </w:rPr>
        <w:t>说明信号强度跨期稳定。散点图呈现典型的</w:t>
      </w:r>
      <w:r>
        <w:rPr>
          <w:rFonts w:eastAsia="Arial"/>
          <w:color w:val="2C2C2C"/>
        </w:rPr>
        <w:t>"</w:t>
      </w:r>
      <w:r>
        <w:rPr>
          <w:rFonts w:eastAsia="Arial"/>
          <w:color w:val="2C2C2C"/>
        </w:rPr>
        <w:t>竖条形</w:t>
      </w:r>
      <w:r>
        <w:rPr>
          <w:rFonts w:eastAsia="Arial"/>
          <w:color w:val="2C2C2C"/>
        </w:rPr>
        <w:t>"</w:t>
      </w:r>
      <w:r>
        <w:rPr>
          <w:rFonts w:eastAsia="Arial"/>
          <w:color w:val="2C2C2C"/>
        </w:rPr>
        <w:t>分布</w:t>
      </w:r>
      <w:r>
        <w:rPr>
          <w:rFonts w:eastAsia="Arial"/>
          <w:color w:val="2C2C2C"/>
        </w:rPr>
        <w:t>——</w:t>
      </w:r>
      <w:r>
        <w:rPr>
          <w:rFonts w:eastAsia="Arial"/>
          <w:color w:val="2C2C2C"/>
        </w:rPr>
        <w:t>预测值集中在</w:t>
      </w:r>
      <w:r>
        <w:rPr>
          <w:rFonts w:eastAsia="Arial"/>
          <w:color w:val="2C2C2C"/>
        </w:rPr>
        <w:t xml:space="preserve"> ±0.005 </w:t>
      </w:r>
      <w:r>
        <w:rPr>
          <w:rFonts w:eastAsia="Arial"/>
          <w:color w:val="2C2C2C"/>
        </w:rPr>
        <w:t>的极窄区间，实际收益分布在</w:t>
      </w:r>
      <w:r>
        <w:rPr>
          <w:rFonts w:eastAsia="Arial"/>
          <w:color w:val="2C2C2C"/>
        </w:rPr>
        <w:t xml:space="preserve"> ±0.03 </w:t>
      </w:r>
      <w:r>
        <w:rPr>
          <w:rFonts w:eastAsia="Arial"/>
          <w:color w:val="2C2C2C"/>
        </w:rPr>
        <w:t>的宽区间。</w:t>
      </w:r>
    </w:p>
    <w:p w14:paraId="122569C0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解读：</w:t>
      </w:r>
      <w:r>
        <w:rPr>
          <w:rFonts w:eastAsia="Arial"/>
          <w:color w:val="2C2C2C"/>
        </w:rPr>
        <w:t xml:space="preserve"> </w:t>
      </w:r>
      <w:r>
        <w:rPr>
          <w:rFonts w:eastAsia="Arial"/>
          <w:color w:val="2C2C2C"/>
        </w:rPr>
        <w:t>这是随机森林在回归任务中的已知特性</w:t>
      </w:r>
      <w:r>
        <w:rPr>
          <w:rFonts w:eastAsia="Arial"/>
          <w:color w:val="2C2C2C"/>
        </w:rPr>
        <w:t>——</w:t>
      </w:r>
      <w:r>
        <w:rPr>
          <w:rFonts w:eastAsia="Arial"/>
          <w:color w:val="2C2C2C"/>
        </w:rPr>
        <w:t>集成平均压缩了预测分布，输出值趋向均值收缩。尽管预测幅度小，方向性（正相关斜率）仍然有效，</w:t>
      </w:r>
      <w:r>
        <w:rPr>
          <w:rFonts w:eastAsia="Arial"/>
          <w:color w:val="2C2C2C"/>
        </w:rPr>
        <w:t>IC</w:t>
      </w:r>
      <w:r>
        <w:rPr>
          <w:rFonts w:eastAsia="Arial"/>
          <w:color w:val="2C2C2C"/>
        </w:rPr>
        <w:t>的提升（</w:t>
      </w:r>
      <w:r>
        <w:rPr>
          <w:rFonts w:eastAsia="Arial"/>
          <w:color w:val="2C2C2C"/>
        </w:rPr>
        <w:t>0.038→0.093</w:t>
      </w:r>
      <w:r>
        <w:rPr>
          <w:rFonts w:eastAsia="Arial"/>
          <w:color w:val="2C2C2C"/>
        </w:rPr>
        <w:t>）可能反映训练集扩大后模型泛化能力改善，也可能有测试集市场规律与训练集更接近的因素，需结合滚动</w:t>
      </w:r>
      <w:r>
        <w:rPr>
          <w:rFonts w:eastAsia="Arial"/>
          <w:color w:val="2C2C2C"/>
        </w:rPr>
        <w:t>IC</w:t>
      </w:r>
      <w:r>
        <w:rPr>
          <w:rFonts w:eastAsia="Arial"/>
          <w:color w:val="2C2C2C"/>
        </w:rPr>
        <w:t>追踪是否维持。</w:t>
      </w:r>
    </w:p>
    <w:p w14:paraId="4056A917" w14:textId="77777777" w:rsidR="008D1530" w:rsidRDefault="00FA1A3E">
      <w:pPr>
        <w:pStyle w:val="1"/>
      </w:pPr>
      <w:r>
        <w:t>十、综合评估与后续方向</w:t>
      </w:r>
    </w:p>
    <w:p w14:paraId="57A1B5FD" w14:textId="77777777" w:rsidR="008D1530" w:rsidRDefault="008D1530">
      <w:pPr>
        <w:pBdr>
          <w:bottom w:val="single" w:sz="4" w:space="0" w:color="BFBFBF"/>
        </w:pBdr>
        <w:spacing w:before="120" w:after="120"/>
      </w:pPr>
    </w:p>
    <w:p w14:paraId="71CF948E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测试集结论：</w:t>
      </w:r>
      <w:r>
        <w:rPr>
          <w:rFonts w:eastAsia="Arial"/>
          <w:color w:val="2C2C2C"/>
        </w:rPr>
        <w:t xml:space="preserve"> RF </w:t>
      </w:r>
      <w:r>
        <w:rPr>
          <w:rFonts w:eastAsia="Arial"/>
          <w:color w:val="2C2C2C"/>
        </w:rPr>
        <w:t>模型通过了</w:t>
      </w:r>
      <w:r>
        <w:rPr>
          <w:rFonts w:eastAsia="Arial"/>
          <w:color w:val="2C2C2C"/>
        </w:rPr>
        <w:t xml:space="preserve"> Phase 2 </w:t>
      </w:r>
      <w:r>
        <w:rPr>
          <w:rFonts w:eastAsia="Arial"/>
          <w:color w:val="2C2C2C"/>
        </w:rPr>
        <w:t>评估。</w:t>
      </w:r>
      <w:r>
        <w:rPr>
          <w:rFonts w:eastAsia="Arial"/>
          <w:color w:val="2C2C2C"/>
        </w:rPr>
        <w:t xml:space="preserve">Adjusted Sharpe 1.122 </w:t>
      </w:r>
      <w:r>
        <w:rPr>
          <w:rFonts w:eastAsia="Arial"/>
          <w:color w:val="2C2C2C"/>
        </w:rPr>
        <w:t>显著跑赢基准（</w:t>
      </w:r>
      <w:r>
        <w:rPr>
          <w:rFonts w:eastAsia="Arial"/>
          <w:color w:val="2C2C2C"/>
        </w:rPr>
        <w:t>0.870</w:t>
      </w:r>
      <w:r>
        <w:rPr>
          <w:rFonts w:eastAsia="Arial"/>
          <w:color w:val="2C2C2C"/>
        </w:rPr>
        <w:t>），最大回撤</w:t>
      </w:r>
      <w:r>
        <w:rPr>
          <w:rFonts w:eastAsia="Arial"/>
          <w:color w:val="2C2C2C"/>
        </w:rPr>
        <w:t xml:space="preserve"> -15.7% </w:t>
      </w:r>
      <w:r>
        <w:rPr>
          <w:rFonts w:eastAsia="Arial"/>
          <w:color w:val="2C2C2C"/>
        </w:rPr>
        <w:t>处于可接受范围，</w:t>
      </w:r>
      <w:r>
        <w:rPr>
          <w:rFonts w:eastAsia="Arial"/>
          <w:color w:val="2C2C2C"/>
        </w:rPr>
        <w:t xml:space="preserve">IC/ICIR </w:t>
      </w:r>
      <w:r>
        <w:rPr>
          <w:rFonts w:eastAsia="Arial"/>
          <w:color w:val="2C2C2C"/>
        </w:rPr>
        <w:t>均为正且稳定，月度亏损率约</w:t>
      </w:r>
      <w:r>
        <w:rPr>
          <w:rFonts w:eastAsia="Arial"/>
          <w:color w:val="2C2C2C"/>
        </w:rPr>
        <w:t>19%</w:t>
      </w:r>
      <w:r>
        <w:rPr>
          <w:rFonts w:eastAsia="Arial"/>
          <w:color w:val="2C2C2C"/>
        </w:rPr>
        <w:t>。</w:t>
      </w:r>
    </w:p>
    <w:p w14:paraId="43831022" w14:textId="77777777" w:rsidR="008D1530" w:rsidRDefault="008D1530">
      <w:pPr>
        <w:spacing w:before="80" w:after="60"/>
      </w:pPr>
    </w:p>
    <w:p w14:paraId="160ECEA2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主要风险点：</w:t>
      </w:r>
    </w:p>
    <w:p w14:paraId="5119CE01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t_stat = -0.643</w:t>
      </w:r>
      <w:r>
        <w:rPr>
          <w:rFonts w:eastAsia="Arial"/>
          <w:color w:val="2C2C2C"/>
        </w:rPr>
        <w:t>（</w:t>
      </w:r>
      <w:r>
        <w:rPr>
          <w:rFonts w:eastAsia="Arial"/>
          <w:color w:val="2C2C2C"/>
        </w:rPr>
        <w:t>p = 0.520</w:t>
      </w:r>
      <w:r>
        <w:rPr>
          <w:rFonts w:eastAsia="Arial"/>
          <w:color w:val="2C2C2C"/>
        </w:rPr>
        <w:t>）：超额收益在统计上不显著，约</w:t>
      </w:r>
      <w:r>
        <w:rPr>
          <w:rFonts w:eastAsia="Arial"/>
          <w:color w:val="2C2C2C"/>
        </w:rPr>
        <w:t>905</w:t>
      </w:r>
      <w:r>
        <w:rPr>
          <w:rFonts w:eastAsia="Arial"/>
          <w:color w:val="2C2C2C"/>
        </w:rPr>
        <w:t>个样本的测试集偏小，结论的统计置信度有限</w:t>
      </w:r>
    </w:p>
    <w:p w14:paraId="6600DC32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最大回撤事件（</w:t>
      </w:r>
      <w:r>
        <w:rPr>
          <w:rFonts w:eastAsia="Arial"/>
          <w:color w:val="2C2C2C"/>
        </w:rPr>
        <w:t>index 625–670</w:t>
      </w:r>
      <w:r>
        <w:rPr>
          <w:rFonts w:eastAsia="Arial"/>
          <w:color w:val="2C2C2C"/>
        </w:rPr>
        <w:t>）与</w:t>
      </w:r>
      <w:r>
        <w:rPr>
          <w:rFonts w:eastAsia="Arial"/>
          <w:color w:val="2C2C2C"/>
        </w:rPr>
        <w:t xml:space="preserve"> CV </w:t>
      </w:r>
      <w:r>
        <w:rPr>
          <w:rFonts w:eastAsia="Arial"/>
          <w:color w:val="2C2C2C"/>
        </w:rPr>
        <w:t>阶段</w:t>
      </w:r>
      <w:r>
        <w:rPr>
          <w:rFonts w:eastAsia="Arial"/>
          <w:color w:val="2C2C2C"/>
        </w:rPr>
        <w:t xml:space="preserve"> fold 3 </w:t>
      </w:r>
      <w:r>
        <w:rPr>
          <w:rFonts w:eastAsia="Arial"/>
          <w:color w:val="2C2C2C"/>
        </w:rPr>
        <w:t>的失效模式结构相似，均为体制切换触发，当前模型对此类事件的防御能力不足</w:t>
      </w:r>
    </w:p>
    <w:p w14:paraId="4A0C5037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仓位分布的双峰集中于</w:t>
      </w:r>
      <w:r>
        <w:rPr>
          <w:rFonts w:eastAsia="Arial"/>
          <w:color w:val="2C2C2C"/>
        </w:rPr>
        <w:t>0</w:t>
      </w:r>
      <w:r>
        <w:rPr>
          <w:rFonts w:eastAsia="Arial"/>
          <w:color w:val="2C2C2C"/>
        </w:rPr>
        <w:t>和</w:t>
      </w:r>
      <w:r>
        <w:rPr>
          <w:rFonts w:eastAsia="Arial"/>
          <w:color w:val="2C2C2C"/>
        </w:rPr>
        <w:t>2</w:t>
      </w:r>
      <w:r>
        <w:rPr>
          <w:rFonts w:eastAsia="Arial"/>
          <w:color w:val="2C2C2C"/>
        </w:rPr>
        <w:t>，极端仓位占比偏高，实盘中高换手和滑点成本需纳入考量</w:t>
      </w:r>
    </w:p>
    <w:p w14:paraId="556E36F4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测试集</w:t>
      </w:r>
      <w:r>
        <w:rPr>
          <w:rFonts w:eastAsia="Arial"/>
          <w:color w:val="2C2C2C"/>
        </w:rPr>
        <w:t xml:space="preserve"> IC</w:t>
      </w:r>
      <w:r>
        <w:rPr>
          <w:rFonts w:eastAsia="Arial"/>
          <w:color w:val="2C2C2C"/>
        </w:rPr>
        <w:t>（</w:t>
      </w:r>
      <w:r>
        <w:rPr>
          <w:rFonts w:eastAsia="Arial"/>
          <w:color w:val="2C2C2C"/>
        </w:rPr>
        <w:t>0.093</w:t>
      </w:r>
      <w:r>
        <w:rPr>
          <w:rFonts w:eastAsia="Arial"/>
          <w:color w:val="2C2C2C"/>
        </w:rPr>
        <w:t>）显著高于</w:t>
      </w:r>
      <w:r>
        <w:rPr>
          <w:rFonts w:eastAsia="Arial"/>
          <w:color w:val="2C2C2C"/>
        </w:rPr>
        <w:t xml:space="preserve"> CV </w:t>
      </w:r>
      <w:r>
        <w:rPr>
          <w:rFonts w:eastAsia="Arial"/>
          <w:color w:val="2C2C2C"/>
        </w:rPr>
        <w:t>均值（</w:t>
      </w:r>
      <w:r>
        <w:rPr>
          <w:rFonts w:eastAsia="Arial"/>
          <w:color w:val="2C2C2C"/>
        </w:rPr>
        <w:t>0.038</w:t>
      </w:r>
      <w:r>
        <w:rPr>
          <w:rFonts w:eastAsia="Arial"/>
          <w:color w:val="2C2C2C"/>
        </w:rPr>
        <w:t>），需持续监测是否出现衰减</w:t>
      </w:r>
    </w:p>
    <w:p w14:paraId="003F1AD7" w14:textId="77777777" w:rsidR="008D1530" w:rsidRDefault="008D1530">
      <w:pPr>
        <w:spacing w:before="80" w:after="60"/>
      </w:pPr>
    </w:p>
    <w:p w14:paraId="0FF568AD" w14:textId="77777777" w:rsidR="008D1530" w:rsidRDefault="00FA1A3E">
      <w:pPr>
        <w:spacing w:before="60" w:after="80" w:line="320" w:lineRule="auto"/>
      </w:pPr>
      <w:r>
        <w:rPr>
          <w:rFonts w:eastAsia="Arial"/>
          <w:b/>
          <w:bCs/>
          <w:color w:val="2C2C2C"/>
        </w:rPr>
        <w:t>后续优化方向（优先级排序）：</w:t>
      </w:r>
    </w:p>
    <w:p w14:paraId="54BD5BA9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lastRenderedPageBreak/>
        <w:t>加入波动率体制特征（近</w:t>
      </w:r>
      <w:r>
        <w:rPr>
          <w:rFonts w:eastAsia="Arial"/>
          <w:color w:val="2C2C2C"/>
        </w:rPr>
        <w:t>21</w:t>
      </w:r>
      <w:r>
        <w:rPr>
          <w:rFonts w:eastAsia="Arial"/>
          <w:color w:val="2C2C2C"/>
        </w:rPr>
        <w:t>日波动率分位数）和趋势体制特征，针对性改善体制切换时期的稳定性</w:t>
      </w:r>
    </w:p>
    <w:p w14:paraId="7F724E0B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扩大超参搜索（</w:t>
      </w:r>
      <w:r>
        <w:rPr>
          <w:rFonts w:eastAsia="Arial"/>
          <w:color w:val="2C2C2C"/>
        </w:rPr>
        <w:t>trials → 100</w:t>
      </w:r>
      <w:r>
        <w:rPr>
          <w:rFonts w:eastAsia="Arial"/>
          <w:color w:val="2C2C2C"/>
        </w:rPr>
        <w:t>），重点扩展</w:t>
      </w:r>
      <w:r>
        <w:rPr>
          <w:rFonts w:eastAsia="Arial"/>
          <w:color w:val="2C2C2C"/>
        </w:rPr>
        <w:t xml:space="preserve"> max_depth</w:t>
      </w:r>
      <w:r>
        <w:rPr>
          <w:rFonts w:eastAsia="Arial"/>
          <w:color w:val="2C2C2C"/>
        </w:rPr>
        <w:t>（</w:t>
      </w:r>
      <w:r>
        <w:rPr>
          <w:rFonts w:eastAsia="Arial"/>
          <w:color w:val="2C2C2C"/>
        </w:rPr>
        <w:t>5→20</w:t>
      </w:r>
      <w:r>
        <w:rPr>
          <w:rFonts w:eastAsia="Arial"/>
          <w:color w:val="2C2C2C"/>
        </w:rPr>
        <w:t>）和</w:t>
      </w:r>
      <w:r>
        <w:rPr>
          <w:rFonts w:eastAsia="Arial"/>
          <w:color w:val="2C2C2C"/>
        </w:rPr>
        <w:t xml:space="preserve"> min_samples_leaf</w:t>
      </w:r>
      <w:r>
        <w:rPr>
          <w:rFonts w:eastAsia="Arial"/>
          <w:color w:val="2C2C2C"/>
        </w:rPr>
        <w:t>（</w:t>
      </w:r>
      <w:r>
        <w:rPr>
          <w:rFonts w:eastAsia="Arial"/>
          <w:color w:val="2C2C2C"/>
        </w:rPr>
        <w:t>5→30</w:t>
      </w:r>
      <w:r>
        <w:rPr>
          <w:rFonts w:eastAsia="Arial"/>
          <w:color w:val="2C2C2C"/>
        </w:rPr>
        <w:t>）的搜索范围</w:t>
      </w:r>
    </w:p>
    <w:p w14:paraId="5F2904BD" w14:textId="77777777" w:rsidR="008D1530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考虑对预测值加截断（</w:t>
      </w:r>
      <w:r>
        <w:rPr>
          <w:rFonts w:eastAsia="Arial"/>
          <w:color w:val="2C2C2C"/>
        </w:rPr>
        <w:t>5%–95%</w:t>
      </w:r>
      <w:r>
        <w:rPr>
          <w:rFonts w:eastAsia="Arial"/>
          <w:color w:val="2C2C2C"/>
        </w:rPr>
        <w:t>分位数），抑制极端仓位频率，降低换手成本</w:t>
      </w:r>
    </w:p>
    <w:p w14:paraId="43A7B388" w14:textId="10DE999A" w:rsidR="008D1530" w:rsidRPr="002C4648" w:rsidRDefault="00FA1A3E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2C2C2C"/>
        </w:rPr>
        <w:t>引入滚动</w:t>
      </w:r>
      <w:r>
        <w:rPr>
          <w:rFonts w:eastAsia="Arial"/>
          <w:color w:val="2C2C2C"/>
        </w:rPr>
        <w:t>IC</w:t>
      </w:r>
      <w:r>
        <w:rPr>
          <w:rFonts w:eastAsia="Arial"/>
          <w:color w:val="2C2C2C"/>
        </w:rPr>
        <w:t>监控机制，信号衰减时触发重训练</w:t>
      </w:r>
    </w:p>
    <w:p w14:paraId="03F12672" w14:textId="30A0C16F" w:rsidR="002C4648" w:rsidRDefault="002C4648">
      <w:pPr>
        <w:pStyle w:val="a4"/>
        <w:numPr>
          <w:ilvl w:val="0"/>
          <w:numId w:val="2"/>
        </w:numPr>
        <w:spacing w:before="40" w:after="40"/>
      </w:pPr>
      <w:r>
        <w:rPr>
          <w:rFonts w:ascii="宋体" w:eastAsia="宋体" w:hAnsi="宋体" w:cs="宋体" w:hint="eastAsia"/>
          <w:color w:val="2C2C2C"/>
        </w:rPr>
        <w:t>其他监控项目包括不限于：预测值分布、数据漂移、滚动sharpe、回撤、仓位分布、宏观Regime等</w:t>
      </w:r>
    </w:p>
    <w:sectPr w:rsidR="002C46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F2A"/>
    <w:multiLevelType w:val="hybridMultilevel"/>
    <w:tmpl w:val="E104FFFA"/>
    <w:lvl w:ilvl="0" w:tplc="B79A0C16">
      <w:start w:val="1"/>
      <w:numFmt w:val="bullet"/>
      <w:lvlText w:val="●"/>
      <w:lvlJc w:val="left"/>
      <w:pPr>
        <w:ind w:left="720" w:hanging="360"/>
      </w:pPr>
    </w:lvl>
    <w:lvl w:ilvl="1" w:tplc="F780715E">
      <w:start w:val="1"/>
      <w:numFmt w:val="bullet"/>
      <w:lvlText w:val="○"/>
      <w:lvlJc w:val="left"/>
      <w:pPr>
        <w:ind w:left="1440" w:hanging="360"/>
      </w:pPr>
    </w:lvl>
    <w:lvl w:ilvl="2" w:tplc="A3069B20">
      <w:start w:val="1"/>
      <w:numFmt w:val="bullet"/>
      <w:lvlText w:val="■"/>
      <w:lvlJc w:val="left"/>
      <w:pPr>
        <w:ind w:left="2160" w:hanging="360"/>
      </w:pPr>
    </w:lvl>
    <w:lvl w:ilvl="3" w:tplc="AAB42806">
      <w:start w:val="1"/>
      <w:numFmt w:val="bullet"/>
      <w:lvlText w:val="●"/>
      <w:lvlJc w:val="left"/>
      <w:pPr>
        <w:ind w:left="2880" w:hanging="360"/>
      </w:pPr>
    </w:lvl>
    <w:lvl w:ilvl="4" w:tplc="D228DF2C">
      <w:start w:val="1"/>
      <w:numFmt w:val="bullet"/>
      <w:lvlText w:val="○"/>
      <w:lvlJc w:val="left"/>
      <w:pPr>
        <w:ind w:left="3600" w:hanging="360"/>
      </w:pPr>
    </w:lvl>
    <w:lvl w:ilvl="5" w:tplc="4F68A6EE">
      <w:start w:val="1"/>
      <w:numFmt w:val="bullet"/>
      <w:lvlText w:val="■"/>
      <w:lvlJc w:val="left"/>
      <w:pPr>
        <w:ind w:left="4320" w:hanging="360"/>
      </w:pPr>
    </w:lvl>
    <w:lvl w:ilvl="6" w:tplc="827C4072">
      <w:start w:val="1"/>
      <w:numFmt w:val="bullet"/>
      <w:lvlText w:val="●"/>
      <w:lvlJc w:val="left"/>
      <w:pPr>
        <w:ind w:left="5040" w:hanging="360"/>
      </w:pPr>
    </w:lvl>
    <w:lvl w:ilvl="7" w:tplc="C5FCEA02">
      <w:start w:val="1"/>
      <w:numFmt w:val="bullet"/>
      <w:lvlText w:val="●"/>
      <w:lvlJc w:val="left"/>
      <w:pPr>
        <w:ind w:left="5760" w:hanging="360"/>
      </w:pPr>
    </w:lvl>
    <w:lvl w:ilvl="8" w:tplc="D10EA7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5002D"/>
    <w:multiLevelType w:val="hybridMultilevel"/>
    <w:tmpl w:val="D6B2EF9A"/>
    <w:lvl w:ilvl="0" w:tplc="9156028A">
      <w:start w:val="1"/>
      <w:numFmt w:val="bullet"/>
      <w:lvlText w:val="•"/>
      <w:lvlJc w:val="left"/>
      <w:pPr>
        <w:ind w:left="720" w:hanging="360"/>
      </w:pPr>
    </w:lvl>
    <w:lvl w:ilvl="1" w:tplc="A3800AE0">
      <w:numFmt w:val="decimal"/>
      <w:lvlText w:val=""/>
      <w:lvlJc w:val="left"/>
    </w:lvl>
    <w:lvl w:ilvl="2" w:tplc="760C08A0">
      <w:numFmt w:val="decimal"/>
      <w:lvlText w:val=""/>
      <w:lvlJc w:val="left"/>
    </w:lvl>
    <w:lvl w:ilvl="3" w:tplc="44F02592">
      <w:numFmt w:val="decimal"/>
      <w:lvlText w:val=""/>
      <w:lvlJc w:val="left"/>
    </w:lvl>
    <w:lvl w:ilvl="4" w:tplc="D1728FF2">
      <w:numFmt w:val="decimal"/>
      <w:lvlText w:val=""/>
      <w:lvlJc w:val="left"/>
    </w:lvl>
    <w:lvl w:ilvl="5" w:tplc="C3DA121E">
      <w:numFmt w:val="decimal"/>
      <w:lvlText w:val=""/>
      <w:lvlJc w:val="left"/>
    </w:lvl>
    <w:lvl w:ilvl="6" w:tplc="5E0443F4">
      <w:numFmt w:val="decimal"/>
      <w:lvlText w:val=""/>
      <w:lvlJc w:val="left"/>
    </w:lvl>
    <w:lvl w:ilvl="7" w:tplc="4F70EBDA">
      <w:numFmt w:val="decimal"/>
      <w:lvlText w:val=""/>
      <w:lvlJc w:val="left"/>
    </w:lvl>
    <w:lvl w:ilvl="8" w:tplc="8D0C6E68">
      <w:numFmt w:val="decimal"/>
      <w:lvlText w:val=""/>
      <w:lvlJc w:val="left"/>
    </w:lvl>
  </w:abstractNum>
  <w:num w:numId="1" w16cid:durableId="2043240035">
    <w:abstractNumId w:val="0"/>
    <w:lvlOverride w:ilvl="0">
      <w:startOverride w:val="1"/>
    </w:lvlOverride>
  </w:num>
  <w:num w:numId="2" w16cid:durableId="4729836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30"/>
    <w:rsid w:val="00050D02"/>
    <w:rsid w:val="002C4648"/>
    <w:rsid w:val="00636C2F"/>
    <w:rsid w:val="00661BA2"/>
    <w:rsid w:val="008D1530"/>
    <w:rsid w:val="00A749CD"/>
    <w:rsid w:val="00EA604C"/>
    <w:rsid w:val="00FA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8160"/>
  <w15:docId w15:val="{F696892C-E98F-411B-AC04-8C661494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40" w:after="80"/>
      <w:outlineLvl w:val="1"/>
    </w:pPr>
    <w:rPr>
      <w:rFonts w:eastAsia="Arial"/>
      <w:b/>
      <w:bCs/>
      <w:color w:val="C55A1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Gavin Wang</cp:lastModifiedBy>
  <cp:revision>6</cp:revision>
  <dcterms:created xsi:type="dcterms:W3CDTF">2026-05-25T00:46:00Z</dcterms:created>
  <dcterms:modified xsi:type="dcterms:W3CDTF">2026-05-25T01:05:00Z</dcterms:modified>
</cp:coreProperties>
</file>