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rFonts w:ascii="Calibri" w:cs="Calibri" w:eastAsia="Calibri" w:hAnsi="Calibri"/>
          <w:b/>
          <w:bCs/>
          <w:color w:val="003D9E"/>
          <w:sz w:val="26"/>
          <w:szCs w:val="26"/>
        </w:rPr>
        <w:t xml:space="preserve">HMRC</w:t>
      </w:r>
    </w:p>
    <w:p>
      <w:pPr>
        <w:spacing w:after="80"/>
      </w:pPr>
      <w:r>
        <w:rPr>
          <w:rFonts w:ascii="Calibri" w:cs="Calibri" w:eastAsia="Calibri" w:hAnsi="Calibri"/>
          <w:color w:val="3D4653"/>
          <w:sz w:val="22"/>
          <w:szCs w:val="22"/>
        </w:rPr>
        <w:t xml:space="preserve">Integration Platform Programme</w:t>
      </w:r>
    </w:p>
    <w:p>
      <w:pPr>
        <w:spacing w:after="60"/>
      </w:pPr>
      <w:r>
        <w:rPr>
          <w:rFonts w:ascii="Calibri" w:cs="Calibri" w:eastAsia="Calibri" w:hAnsi="Calibri"/>
          <w:b/>
          <w:bCs/>
          <w:color w:val="0F1723"/>
          <w:sz w:val="60"/>
          <w:szCs w:val="60"/>
        </w:rPr>
        <w:t xml:space="preserve">Intelligrator</w:t>
      </w:r>
    </w:p>
    <w:p>
      <w:pPr>
        <w:spacing w:after="300"/>
      </w:pPr>
      <w:r>
        <w:rPr>
          <w:rFonts w:ascii="Calibri" w:cs="Calibri" w:eastAsia="Calibri" w:hAnsi="Calibri"/>
          <w:color w:val="3D4653"/>
          <w:sz w:val="30"/>
          <w:szCs w:val="30"/>
        </w:rPr>
        <w:t xml:space="preserve">Phased Productionisation Plan</w:t>
      </w:r>
    </w:p>
    <w:p>
      <w:pPr>
        <w:pBdr>
          <w:top w:val="single" w:color="003D9E" w:sz="8"/>
        </w:pBdr>
        <w:spacing w:after="380"/>
      </w:pPr>
    </w:p>
    <w:p>
      <w:pPr>
        <w:spacing w:after="120" w:line="276"/>
      </w:pPr>
      <w:r>
        <w:rPr>
          <w:rFonts w:ascii="Calibri" w:cs="Calibri" w:eastAsia="Calibri" w:hAnsi="Calibri"/>
          <w:b/>
          <w:bCs/>
          <w:color w:val="0F1723"/>
          <w:sz w:val="21"/>
          <w:szCs w:val="21"/>
        </w:rPr>
        <w:t xml:space="preserve">Version 2.0   |   14 July 2026</w:t>
      </w:r>
    </w:p>
    <w:p>
      <w:pPr>
        <w:spacing w:after="120" w:line="276"/>
      </w:pPr>
      <w:r>
        <w:rPr>
          <w:rFonts w:ascii="Calibri" w:cs="Calibri" w:eastAsia="Calibri" w:hAnsi="Calibri"/>
          <w:color w:val="3D4653"/>
          <w:sz w:val="21"/>
          <w:szCs w:val="21"/>
        </w:rPr>
        <w:t xml:space="preserve">60 weeks · 6 phases · MVP live at week 14</w:t>
      </w:r>
    </w:p>
    <w:p>
      <w:pPr>
        <w:spacing w:after="120" w:line="276"/>
      </w:pPr>
      <w:r>
        <w:rPr>
          <w:rFonts w:ascii="Calibri" w:cs="Calibri" w:eastAsia="Calibri" w:hAnsi="Calibri"/>
          <w:color w:val="3D4653"/>
          <w:sz w:val="21"/>
          <w:szCs w:val="21"/>
        </w:rPr>
        <w:t xml:space="preserve">Boomi iPaaS · Boomi native MFT (Thru) · Boomi API Management</w:t>
      </w:r>
    </w:p>
    <w:p>
      <w:pPr>
        <w:spacing w:after="120" w:line="276"/>
      </w:pPr>
      <w:r>
        <w:rPr>
          <w:rFonts w:ascii="Calibri" w:cs="Calibri" w:eastAsia="Calibri" w:hAnsi="Calibri"/>
          <w:color w:val="3D4653"/>
          <w:sz w:val="21"/>
          <w:szCs w:val="21"/>
        </w:rPr>
        <w:t xml:space="preserve">65 user stories  ·  384 story points  ·  282 acceptance criteria</w:t>
      </w:r>
    </w:p>
    <w:p>
      <w:r>
        <w:br w:type="page"/>
      </w:r>
    </w:p>
    <w:p>
      <w:pPr>
        <w:pStyle w:val="Heading1"/>
        <w:spacing w:after="120" w:before="24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rPr>
        <w:t xml:space="preserve">1. Executive summary</w:t>
      </w:r>
    </w:p>
    <w:p>
      <w:pPr>
        <w:spacing w:after="120" w:line="276"/>
      </w:pPr>
      <w:r>
        <w:rPr>
          <w:rFonts w:ascii="Calibri" w:cs="Calibri" w:eastAsia="Calibri" w:hAnsi="Calibri"/>
          <w:color w:val="3D4653"/>
          <w:sz w:val="21"/>
          <w:szCs w:val="21"/>
        </w:rPr>
        <w:t xml:space="preserve">Intelligrator is productionised in six phases over sixty weeks, with a working MVP live at week 14.</w:t>
      </w:r>
    </w:p>
    <w:p>
      <w:pPr>
        <w:spacing w:after="120" w:line="276"/>
      </w:pPr>
      <w:r>
        <w:rPr>
          <w:rFonts w:ascii="Calibri" w:cs="Calibri" w:eastAsia="Calibri" w:hAnsi="Calibri"/>
          <w:color w:val="3D4653"/>
          <w:sz w:val="21"/>
          <w:szCs w:val="21"/>
        </w:rPr>
        <w:t xml:space="preserve">Phase 0 builds the spine and ships nothing user-facing — deliberately. Phase 1 proves the hypothesis the product exists to test: a user with no Boomi knowledge signs in with a username and password, submits a Managed File Transfer request, an administrator accepts or rejects it, and an approved request is built and provisioned automatically. Phase 2 performs the same trick for APIs — an uploaded OpenAPI specification becomes a live, secured, rate-limited endpoint, and several published APIs can be composed into a mashup without anyone writing a Boomi process. Phase 3 replaces the MVP's local login with enterprise single sign-on and adds the controls an auditor will actually test. Phase 4 extends the same front door to event streaming. Phase 5 turns the portal on the legacy estate and industrialises the migration off it.</w:t>
      </w:r>
    </w:p>
    <w:p>
      <w:pPr>
        <w:pStyle w:val="Heading2"/>
        <w:spacing w:after="120" w:before="240"/>
      </w:pPr>
      <w:r>
        <w:rPr>
          <w:rFonts w:ascii="Calibri" w:cs="Calibri" w:eastAsia="Calibri" w:hAnsi="Calibri"/>
        </w:rPr>
        <w:t xml:space="preserve">The rule that holds across every phase</w:t>
      </w:r>
    </w:p>
    <w:p>
      <w:pPr>
        <w:spacing w:after="120" w:line="276"/>
      </w:pPr>
      <w:r>
        <w:rPr>
          <w:rFonts w:ascii="Calibri" w:cs="Calibri" w:eastAsia="Calibri" w:hAnsi="Calibri"/>
          <w:b/>
          <w:bCs/>
          <w:color w:val="0F1723"/>
          <w:sz w:val="21"/>
          <w:szCs w:val="21"/>
        </w:rPr>
        <w:t xml:space="preserve">An approved request becomes a CONFIGURATION ROW executed by one generic engine. Whether it is a file transfer, an API, a mashup or an event stream, it never generates a new Boomi component per interface. Every phase in this plan is designed to preserve that. If a phase appears to breach it, it has been misread — and should be challenged.</w:t>
      </w:r>
    </w:p>
    <w:p>
      <w:pPr>
        <w:pStyle w:val="Heading2"/>
        <w:spacing w:after="120" w:before="240"/>
      </w:pPr>
      <w:r>
        <w:rPr>
          <w:rFonts w:ascii="Calibri" w:cs="Calibri" w:eastAsia="Calibri" w:hAnsi="Calibri"/>
        </w:rPr>
        <w:t xml:space="preserve">The one thing not to compromise</w:t>
      </w:r>
    </w:p>
    <w:p>
      <w:pPr>
        <w:spacing w:after="120" w:line="276"/>
      </w:pPr>
      <w:r>
        <w:rPr>
          <w:rFonts w:ascii="Calibri" w:cs="Calibri" w:eastAsia="Calibri" w:hAnsi="Calibri"/>
          <w:color w:val="3D4653"/>
          <w:sz w:val="21"/>
          <w:szCs w:val="21"/>
        </w:rPr>
        <w:t xml:space="preserve">The MVP must include the build automation, not merely the request form. A portal that captures a request and then hands a spreadsheet to the platform team is a prettier ticket queue, and the business case for Intelligrator is not prettier tickets — it is lead time and the removal of per-interface build. Cut scope from the form (fewer protocols, SFTP only) before you cut it from the automation.</w:t>
      </w:r>
    </w:p>
    <w:p>
      <w:r>
        <w:br w:type="page"/>
      </w:r>
    </w:p>
    <w:p>
      <w:pPr>
        <w:pStyle w:val="Heading1"/>
        <w:spacing w:after="120" w:before="240"/>
      </w:pPr>
      <w:r>
        <w:rPr>
          <w:rFonts w:ascii="Calibri" w:cs="Calibri" w:eastAsia="Calibri" w:hAnsi="Calibri"/>
        </w:rPr>
        <w:t xml:space="preserve">2. Plan on a page</w:t>
      </w:r>
    </w:p>
    <w:p>
      <w:pPr>
        <w:spacing w:after="200"/>
        <w:jc w:val="center"/>
      </w:pPr>
      <w:r>
        <w:drawing>
          <wp:inline distT="0" distB="0" distL="0" distR="0">
            <wp:extent cx="6096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67000"/>
                    </a:xfrm>
                    <a:prstGeom prst="rect">
                      <a:avLst/>
                    </a:prstGeom>
                  </pic:spPr>
                </pic:pic>
              </a:graphicData>
            </a:graphic>
          </wp:inline>
        </w:drawing>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700"/>
        <w:gridCol w:w="2500"/>
        <w:gridCol w:w="1000"/>
        <w:gridCol w:w="3760"/>
        <w:gridCol w:w="700"/>
        <w:gridCol w:w="700"/>
      </w:tblGrid>
      <w:tr>
        <w:trPr>
          <w:tblHeader/>
        </w:trPr>
        <w:tc>
          <w:tcPr>
            <w:tcW w:type="dxa" w:w="7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Phase</w:t>
            </w:r>
          </w:p>
        </w:tc>
        <w:tc>
          <w:tcPr>
            <w:tcW w:type="dxa" w:w="25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Name</w:t>
            </w:r>
          </w:p>
        </w:tc>
        <w:tc>
          <w:tcPr>
            <w:tcW w:type="dxa" w:w="10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Weeks</w:t>
            </w:r>
          </w:p>
        </w:tc>
        <w:tc>
          <w:tcPr>
            <w:tcW w:type="dxa" w:w="376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Ships</w:t>
            </w:r>
          </w:p>
        </w:tc>
        <w:tc>
          <w:tcPr>
            <w:tcW w:type="dxa" w:w="7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Stories</w:t>
            </w:r>
          </w:p>
        </w:tc>
        <w:tc>
          <w:tcPr>
            <w:tcW w:type="dxa" w:w="7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Pts</w:t>
            </w:r>
          </w:p>
        </w:tc>
      </w:tr>
      <w:tr>
        <w:tc>
          <w:tcPr>
            <w:tcW w:type="dxa" w:w="700"/>
            <w:shd w:fill="5A6472"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P0</w:t>
            </w:r>
          </w:p>
        </w:tc>
        <w:tc>
          <w:tcPr>
            <w:tcW w:type="dxa" w:w="25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Foundations</w:t>
            </w:r>
          </w:p>
        </w:tc>
        <w:tc>
          <w:tcPr>
            <w:tcW w:type="dxa" w:w="10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1–4</w:t>
            </w:r>
          </w:p>
        </w:tc>
        <w:tc>
          <w:tcPr>
            <w:tcW w:type="dxa" w:w="3760"/>
            <w:tcMar>
              <w:top w:type="dxa" w:w="80"/>
              <w:left w:type="dxa" w:w="110"/>
              <w:bottom w:type="dxa" w:w="80"/>
              <w:right w:type="dxa" w:w="110"/>
            </w:tcMar>
          </w:tcPr>
          <w:p>
            <w:pPr>
              <w:spacing w:after="0"/>
            </w:pPr>
            <w:r>
              <w:rPr>
                <w:rFonts w:ascii="Calibri" w:cs="Calibri" w:eastAsia="Calibri" w:hAnsi="Calibri"/>
                <w:color w:val="3D4653"/>
                <w:sz w:val="19"/>
                <w:szCs w:val="19"/>
              </w:rPr>
              <w:t xml:space="preserve">Build the spine that every later phase sits on.</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t>
            </w:r>
          </w:p>
        </w:tc>
      </w:tr>
      <w:tr>
        <w:tc>
          <w:tcPr>
            <w:tcW w:type="dxa" w:w="700"/>
            <w:shd w:fill="0B5FFF"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P1</w:t>
            </w:r>
          </w:p>
        </w:tc>
        <w:tc>
          <w:tcPr>
            <w:tcW w:type="dxa" w:w="25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MVP — MFT Self-Service</w:t>
            </w:r>
          </w:p>
        </w:tc>
        <w:tc>
          <w:tcPr>
            <w:tcW w:type="dxa" w:w="10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3–14</w:t>
            </w:r>
          </w:p>
        </w:tc>
        <w:tc>
          <w:tcPr>
            <w:tcW w:type="dxa" w:w="3760"/>
            <w:tcMar>
              <w:top w:type="dxa" w:w="80"/>
              <w:left w:type="dxa" w:w="110"/>
              <w:bottom w:type="dxa" w:w="80"/>
              <w:right w:type="dxa" w:w="110"/>
            </w:tcMar>
          </w:tcPr>
          <w:p>
            <w:pPr>
              <w:spacing w:after="0"/>
            </w:pPr>
            <w:r>
              <w:rPr>
                <w:rFonts w:ascii="Calibri" w:cs="Calibri" w:eastAsia="Calibri" w:hAnsi="Calibri"/>
                <w:color w:val="3D4653"/>
                <w:sz w:val="19"/>
                <w:szCs w:val="19"/>
              </w:rPr>
              <w:t xml:space="preserve">A user logs in with a username and password, submits a Managed File Transfer request, an admin accepts or rejects it, and an approved request is provisioned automatically with no human touching Boomi..</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32</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156</w:t>
            </w:r>
          </w:p>
        </w:tc>
      </w:tr>
      <w:tr>
        <w:tc>
          <w:tcPr>
            <w:tcW w:type="dxa" w:w="700"/>
            <w:shd w:fill="7A3DB8"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P2</w:t>
            </w:r>
          </w:p>
        </w:tc>
        <w:tc>
          <w:tcPr>
            <w:tcW w:type="dxa" w:w="25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API Onboarding, Build &amp; Composition</w:t>
            </w:r>
          </w:p>
        </w:tc>
        <w:tc>
          <w:tcPr>
            <w:tcW w:type="dxa" w:w="10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15–28</w:t>
            </w:r>
          </w:p>
        </w:tc>
        <w:tc>
          <w:tcPr>
            <w:tcW w:type="dxa" w:w="3760"/>
            <w:tcMar>
              <w:top w:type="dxa" w:w="80"/>
              <w:left w:type="dxa" w:w="110"/>
              <w:bottom w:type="dxa" w:w="80"/>
              <w:right w:type="dxa" w:w="110"/>
            </w:tcMar>
          </w:tcPr>
          <w:p>
            <w:pPr>
              <w:spacing w:after="0"/>
            </w:pPr>
            <w:r>
              <w:rPr>
                <w:rFonts w:ascii="Calibri" w:cs="Calibri" w:eastAsia="Calibri" w:hAnsi="Calibri"/>
                <w:color w:val="3D4653"/>
                <w:sz w:val="19"/>
                <w:szCs w:val="19"/>
              </w:rPr>
              <w:t xml:space="preserve">A user uploads an OpenAPI specification, the platform validates it, builds and deploys the API automatically, and lets them compose several published APIs into a single mashup — all without a developer writing a Boomi process..</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14</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105</w:t>
            </w:r>
          </w:p>
        </w:tc>
      </w:tr>
      <w:tr>
        <w:tc>
          <w:tcPr>
            <w:tcW w:type="dxa" w:w="700"/>
            <w:shd w:fill="0F7A5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P3</w:t>
            </w:r>
          </w:p>
        </w:tc>
        <w:tc>
          <w:tcPr>
            <w:tcW w:type="dxa" w:w="25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Enterprise Identity, Governance &amp; Scale</w:t>
            </w:r>
          </w:p>
        </w:tc>
        <w:tc>
          <w:tcPr>
            <w:tcW w:type="dxa" w:w="10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29–38</w:t>
            </w:r>
          </w:p>
        </w:tc>
        <w:tc>
          <w:tcPr>
            <w:tcW w:type="dxa" w:w="3760"/>
            <w:tcMar>
              <w:top w:type="dxa" w:w="80"/>
              <w:left w:type="dxa" w:w="110"/>
              <w:bottom w:type="dxa" w:w="80"/>
              <w:right w:type="dxa" w:w="110"/>
            </w:tcMar>
          </w:tcPr>
          <w:p>
            <w:pPr>
              <w:spacing w:after="0"/>
            </w:pPr>
            <w:r>
              <w:rPr>
                <w:rFonts w:ascii="Calibri" w:cs="Calibri" w:eastAsia="Calibri" w:hAnsi="Calibri"/>
                <w:color w:val="3D4653"/>
                <w:sz w:val="19"/>
                <w:szCs w:val="19"/>
              </w:rPr>
              <w:t xml:space="preserve">Replace the MVP's local login with enterprise SSO, add the controls an auditor will actually test, and take the service to production at scale..</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9</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44</w:t>
            </w:r>
          </w:p>
        </w:tc>
      </w:tr>
      <w:tr>
        <w:tc>
          <w:tcPr>
            <w:tcW w:type="dxa" w:w="700"/>
            <w:shd w:fill="B5761B"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P4</w:t>
            </w:r>
          </w:p>
        </w:tc>
        <w:tc>
          <w:tcPr>
            <w:tcW w:type="dxa" w:w="25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Event-Driven Onboarding</w:t>
            </w:r>
          </w:p>
        </w:tc>
        <w:tc>
          <w:tcPr>
            <w:tcW w:type="dxa" w:w="10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39–48</w:t>
            </w:r>
          </w:p>
        </w:tc>
        <w:tc>
          <w:tcPr>
            <w:tcW w:type="dxa" w:w="3760"/>
            <w:tcMar>
              <w:top w:type="dxa" w:w="80"/>
              <w:left w:type="dxa" w:w="110"/>
              <w:bottom w:type="dxa" w:w="80"/>
              <w:right w:type="dxa" w:w="110"/>
            </w:tcMar>
          </w:tcPr>
          <w:p>
            <w:pPr>
              <w:spacing w:after="0"/>
            </w:pPr>
            <w:r>
              <w:rPr>
                <w:rFonts w:ascii="Calibri" w:cs="Calibri" w:eastAsia="Calibri" w:hAnsi="Calibri"/>
                <w:color w:val="3D4653"/>
                <w:sz w:val="19"/>
                <w:szCs w:val="19"/>
              </w:rPr>
              <w:t xml:space="preserve">Extend the same front door to event streaming: AsyncAPI contracts, a browsable event catalogue, and a schema registry that refuses an incompatible change..</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4</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34</w:t>
            </w:r>
          </w:p>
        </w:tc>
      </w:tr>
      <w:tr>
        <w:tc>
          <w:tcPr>
            <w:tcW w:type="dxa" w:w="700"/>
            <w:shd w:fill="B3261E"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P5</w:t>
            </w:r>
          </w:p>
        </w:tc>
        <w:tc>
          <w:tcPr>
            <w:tcW w:type="dxa" w:w="25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Optimise, Automate &amp; Retire</w:t>
            </w:r>
          </w:p>
        </w:tc>
        <w:tc>
          <w:tcPr>
            <w:tcW w:type="dxa" w:w="10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49–60</w:t>
            </w:r>
          </w:p>
        </w:tc>
        <w:tc>
          <w:tcPr>
            <w:tcW w:type="dxa" w:w="3760"/>
            <w:tcMar>
              <w:top w:type="dxa" w:w="80"/>
              <w:left w:type="dxa" w:w="110"/>
              <w:bottom w:type="dxa" w:w="80"/>
              <w:right w:type="dxa" w:w="110"/>
            </w:tcMar>
          </w:tcPr>
          <w:p>
            <w:pPr>
              <w:spacing w:after="0"/>
            </w:pPr>
            <w:r>
              <w:rPr>
                <w:rFonts w:ascii="Calibri" w:cs="Calibri" w:eastAsia="Calibri" w:hAnsi="Calibri"/>
                <w:color w:val="3D4653"/>
                <w:sz w:val="19"/>
                <w:szCs w:val="19"/>
              </w:rPr>
              <w:t xml:space="preserve">Make the estate self-maintaining, make its cost visible, and use the portal to industrialise the migration off the legacy integration estate..</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6</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45</w:t>
            </w:r>
          </w:p>
        </w:tc>
      </w:tr>
    </w:tbl>
    <w:p>
      <w:pPr>
        <w:pStyle w:val="Heading1"/>
        <w:spacing w:after="120" w:before="240"/>
      </w:pPr>
      <w:r>
        <w:rPr>
          <w:rFonts w:ascii="Calibri" w:cs="Calibri" w:eastAsia="Calibri" w:hAnsi="Calibri"/>
        </w:rPr>
        <w:t xml:space="preserve">3. Milestones — written as tests, not as deliverables</w:t>
      </w:r>
    </w:p>
    <w:p>
      <w:pPr>
        <w:spacing w:after="120" w:line="276"/>
      </w:pPr>
      <w:r>
        <w:rPr>
          <w:rFonts w:ascii="Calibri" w:cs="Calibri" w:eastAsia="Calibri" w:hAnsi="Calibri"/>
          <w:color w:val="3D4653"/>
          <w:sz w:val="21"/>
          <w:szCs w:val="21"/>
        </w:rPr>
        <w:t xml:space="preserve">A milestone you cannot fail is not a milestone. Each of these is phrased so that a steering group can watch it pass or fail in a demonstration.</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600"/>
        <w:gridCol w:w="700"/>
        <w:gridCol w:w="2600"/>
        <w:gridCol w:w="5460"/>
      </w:tblGrid>
      <w:tr>
        <w:trPr>
          <w:tblHeader/>
        </w:trPr>
        <w:tc>
          <w:tcPr>
            <w:tcW w:type="dxa" w:w="6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ID</w:t>
            </w:r>
          </w:p>
        </w:tc>
        <w:tc>
          <w:tcPr>
            <w:tcW w:type="dxa" w:w="7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Week</w:t>
            </w:r>
          </w:p>
        </w:tc>
        <w:tc>
          <w:tcPr>
            <w:tcW w:type="dxa" w:w="260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Milestone</w:t>
            </w:r>
          </w:p>
        </w:tc>
        <w:tc>
          <w:tcPr>
            <w:tcW w:type="dxa" w:w="5460"/>
            <w:shd w:fill="0F1723"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The test it must pass</w:t>
            </w:r>
          </w:p>
        </w:tc>
      </w:tr>
      <w:tr>
        <w:tc>
          <w:tcPr>
            <w:tcW w:type="dxa" w:w="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M0</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W4</w:t>
            </w:r>
          </w:p>
        </w:tc>
        <w:tc>
          <w:tcPr>
            <w:tcW w:type="dxa" w:w="2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Foundations ready</w:t>
            </w:r>
          </w:p>
        </w:tc>
        <w:tc>
          <w:tcPr>
            <w:tcW w:type="dxa" w:w="5460"/>
            <w:tcMar>
              <w:top w:type="dxa" w:w="80"/>
              <w:left w:type="dxa" w:w="110"/>
              <w:bottom w:type="dxa" w:w="80"/>
              <w:right w:type="dxa" w:w="110"/>
            </w:tcMar>
          </w:tcPr>
          <w:p>
            <w:pPr>
              <w:spacing w:after="0"/>
            </w:pPr>
            <w:r>
              <w:rPr>
                <w:rFonts w:ascii="Calibri" w:cs="Calibri" w:eastAsia="Calibri" w:hAnsi="Calibri"/>
                <w:color w:val="3D4653"/>
                <w:sz w:val="19"/>
                <w:szCs w:val="19"/>
              </w:rPr>
              <w:t xml:space="preserve">A hand-inserted config row moves a file end-to-end. No component created.</w:t>
            </w:r>
          </w:p>
        </w:tc>
      </w:tr>
      <w:tr>
        <w:tc>
          <w:tcPr>
            <w:tcW w:type="dxa" w:w="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M1</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W14</w:t>
            </w:r>
          </w:p>
        </w:tc>
        <w:tc>
          <w:tcPr>
            <w:tcW w:type="dxa" w:w="2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MVP live</w:t>
            </w:r>
          </w:p>
        </w:tc>
        <w:tc>
          <w:tcPr>
            <w:tcW w:type="dxa" w:w="5460"/>
            <w:tcMar>
              <w:top w:type="dxa" w:w="80"/>
              <w:left w:type="dxa" w:w="110"/>
              <w:bottom w:type="dxa" w:w="80"/>
              <w:right w:type="dxa" w:w="110"/>
            </w:tcMar>
          </w:tcPr>
          <w:p>
            <w:pPr>
              <w:spacing w:after="0"/>
            </w:pPr>
            <w:r>
              <w:rPr>
                <w:rFonts w:ascii="Calibri" w:cs="Calibri" w:eastAsia="Calibri" w:hAnsi="Calibri"/>
                <w:color w:val="3D4653"/>
                <w:sz w:val="19"/>
                <w:szCs w:val="19"/>
              </w:rPr>
              <w:t xml:space="preserve">A non-Boomi user self-serves a live SFTP interface. Approval → provisioned, automatically.</w:t>
            </w:r>
          </w:p>
        </w:tc>
      </w:tr>
      <w:tr>
        <w:tc>
          <w:tcPr>
            <w:tcW w:type="dxa" w:w="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M2</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W22</w:t>
            </w:r>
          </w:p>
        </w:tc>
        <w:tc>
          <w:tcPr>
            <w:tcW w:type="dxa" w:w="2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Contract-to-API build</w:t>
            </w:r>
          </w:p>
        </w:tc>
        <w:tc>
          <w:tcPr>
            <w:tcW w:type="dxa" w:w="5460"/>
            <w:tcMar>
              <w:top w:type="dxa" w:w="80"/>
              <w:left w:type="dxa" w:w="110"/>
              <w:bottom w:type="dxa" w:w="80"/>
              <w:right w:type="dxa" w:w="110"/>
            </w:tcMar>
          </w:tcPr>
          <w:p>
            <w:pPr>
              <w:spacing w:after="0"/>
            </w:pPr>
            <w:r>
              <w:rPr>
                <w:rFonts w:ascii="Calibri" w:cs="Calibri" w:eastAsia="Calibri" w:hAnsi="Calibri"/>
                <w:color w:val="3D4653"/>
                <w:sz w:val="19"/>
                <w:szCs w:val="19"/>
              </w:rPr>
              <w:t xml:space="preserve">An uploaded OpenAPI file becomes a live, secured, rate-limited API with no manual Boomi work.</w:t>
            </w:r>
          </w:p>
        </w:tc>
      </w:tr>
      <w:tr>
        <w:tc>
          <w:tcPr>
            <w:tcW w:type="dxa" w:w="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M3</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W28</w:t>
            </w:r>
          </w:p>
        </w:tc>
        <w:tc>
          <w:tcPr>
            <w:tcW w:type="dxa" w:w="2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First mashup in production</w:t>
            </w:r>
          </w:p>
        </w:tc>
        <w:tc>
          <w:tcPr>
            <w:tcW w:type="dxa" w:w="5460"/>
            <w:tcMar>
              <w:top w:type="dxa" w:w="80"/>
              <w:left w:type="dxa" w:w="110"/>
              <w:bottom w:type="dxa" w:w="80"/>
              <w:right w:type="dxa" w:w="110"/>
            </w:tcMar>
          </w:tcPr>
          <w:p>
            <w:pPr>
              <w:spacing w:after="0"/>
            </w:pPr>
            <w:r>
              <w:rPr>
                <w:rFonts w:ascii="Calibri" w:cs="Calibri" w:eastAsia="Calibri" w:hAnsi="Calibri"/>
                <w:color w:val="3D4653"/>
                <w:sz w:val="19"/>
                <w:szCs w:val="19"/>
              </w:rPr>
              <w:t xml:space="preserve">Three published APIs composed into one composite. Boomi component count unchanged.</w:t>
            </w:r>
          </w:p>
        </w:tc>
      </w:tr>
      <w:tr>
        <w:tc>
          <w:tcPr>
            <w:tcW w:type="dxa" w:w="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M4</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W38</w:t>
            </w:r>
          </w:p>
        </w:tc>
        <w:tc>
          <w:tcPr>
            <w:tcW w:type="dxa" w:w="2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SSO cutover · production at scale</w:t>
            </w:r>
          </w:p>
        </w:tc>
        <w:tc>
          <w:tcPr>
            <w:tcW w:type="dxa" w:w="5460"/>
            <w:tcMar>
              <w:top w:type="dxa" w:w="80"/>
              <w:left w:type="dxa" w:w="110"/>
              <w:bottom w:type="dxa" w:w="80"/>
              <w:right w:type="dxa" w:w="110"/>
            </w:tcMar>
          </w:tcPr>
          <w:p>
            <w:pPr>
              <w:spacing w:after="0"/>
            </w:pPr>
            <w:r>
              <w:rPr>
                <w:rFonts w:ascii="Calibri" w:cs="Calibri" w:eastAsia="Calibri" w:hAnsi="Calibri"/>
                <w:color w:val="3D4653"/>
                <w:sz w:val="19"/>
                <w:szCs w:val="19"/>
              </w:rPr>
              <w:t xml:space="preserve">Local login switched off. Full pre-check engine and step-up MFA live. WCAG 2.2 AA passed.</w:t>
            </w:r>
          </w:p>
        </w:tc>
      </w:tr>
      <w:tr>
        <w:tc>
          <w:tcPr>
            <w:tcW w:type="dxa" w:w="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M5</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W48</w:t>
            </w:r>
          </w:p>
        </w:tc>
        <w:tc>
          <w:tcPr>
            <w:tcW w:type="dxa" w:w="2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Event-driven onboarding</w:t>
            </w:r>
          </w:p>
        </w:tc>
        <w:tc>
          <w:tcPr>
            <w:tcW w:type="dxa" w:w="5460"/>
            <w:tcMar>
              <w:top w:type="dxa" w:w="80"/>
              <w:left w:type="dxa" w:w="110"/>
              <w:bottom w:type="dxa" w:w="80"/>
              <w:right w:type="dxa" w:w="110"/>
            </w:tcMar>
          </w:tcPr>
          <w:p>
            <w:pPr>
              <w:spacing w:after="0"/>
            </w:pPr>
            <w:r>
              <w:rPr>
                <w:rFonts w:ascii="Calibri" w:cs="Calibri" w:eastAsia="Calibri" w:hAnsi="Calibri"/>
                <w:color w:val="3D4653"/>
                <w:sz w:val="19"/>
                <w:szCs w:val="19"/>
              </w:rPr>
              <w:t xml:space="preserve">Publisher and subscriber onboarded through the portal. Incompatible schema rejected at submission.</w:t>
            </w:r>
          </w:p>
        </w:tc>
      </w:tr>
      <w:tr>
        <w:tc>
          <w:tcPr>
            <w:tcW w:type="dxa" w:w="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M6</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W60</w:t>
            </w:r>
          </w:p>
        </w:tc>
        <w:tc>
          <w:tcPr>
            <w:tcW w:type="dxa" w:w="2600"/>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Migration engine live</w:t>
            </w:r>
          </w:p>
        </w:tc>
        <w:tc>
          <w:tcPr>
            <w:tcW w:type="dxa" w:w="5460"/>
            <w:tcMar>
              <w:top w:type="dxa" w:w="80"/>
              <w:left w:type="dxa" w:w="110"/>
              <w:bottom w:type="dxa" w:w="80"/>
              <w:right w:type="dxa" w:w="110"/>
            </w:tcMar>
          </w:tcPr>
          <w:p>
            <w:pPr>
              <w:spacing w:after="0"/>
            </w:pPr>
            <w:r>
              <w:rPr>
                <w:rFonts w:ascii="Calibri" w:cs="Calibri" w:eastAsia="Calibri" w:hAnsi="Calibri"/>
                <w:color w:val="3D4653"/>
                <w:sz w:val="19"/>
                <w:szCs w:val="19"/>
              </w:rPr>
              <w:t xml:space="preserve">A legacy inventory bulk-onboarded through the same controls. Dormant tail shrinking.</w:t>
            </w:r>
          </w:p>
        </w:tc>
      </w:tr>
    </w:tbl>
    <w:p>
      <w:pPr>
        <w:pStyle w:val="Heading1"/>
        <w:spacing w:after="120" w:before="240"/>
      </w:pPr>
      <w:r>
        <w:rPr>
          <w:rFonts w:ascii="Calibri" w:cs="Calibri" w:eastAsia="Calibri" w:hAnsi="Calibri"/>
        </w:rPr>
        <w:t xml:space="preserve">4. Principles no phase may break</w:t>
      </w:r>
    </w:p>
    <w:p>
      <w:pPr>
        <w:spacing w:after="60" w:before="140"/>
      </w:pPr>
      <w:r>
        <w:rPr>
          <w:rFonts w:ascii="Calibri" w:cs="Calibri" w:eastAsia="Calibri" w:hAnsi="Calibri"/>
          <w:b/>
          <w:bCs/>
          <w:color w:val="0F1723"/>
          <w:sz w:val="21"/>
          <w:szCs w:val="21"/>
        </w:rPr>
        <w:t xml:space="preserve">Config over construction</w:t>
      </w:r>
    </w:p>
    <w:p>
      <w:pPr>
        <w:spacing w:after="120" w:line="276"/>
      </w:pPr>
      <w:r>
        <w:rPr>
          <w:rFonts w:ascii="Calibri" w:cs="Calibri" w:eastAsia="Calibri" w:hAnsi="Calibri"/>
          <w:color w:val="3D4653"/>
          <w:sz w:val="21"/>
          <w:szCs w:val="21"/>
        </w:rPr>
        <w:t xml:space="preserve">An approved request becomes a row in the config store, consumed by one generic MFT engine process (and one generic API gateway policy set). It does not generate a new Boomi component per interface. Every story below must preserve this.</w:t>
      </w:r>
    </w:p>
    <w:p>
      <w:pPr>
        <w:spacing w:after="60" w:before="140"/>
      </w:pPr>
      <w:r>
        <w:rPr>
          <w:rFonts w:ascii="Calibri" w:cs="Calibri" w:eastAsia="Calibri" w:hAnsi="Calibri"/>
          <w:b/>
          <w:bCs/>
          <w:color w:val="0F1723"/>
          <w:sz w:val="21"/>
          <w:szCs w:val="21"/>
        </w:rPr>
        <w:t xml:space="preserve">Contract-first, not sync-by-default</w:t>
      </w:r>
    </w:p>
    <w:p>
      <w:pPr>
        <w:spacing w:after="120" w:line="276"/>
      </w:pPr>
      <w:r>
        <w:rPr>
          <w:rFonts w:ascii="Calibri" w:cs="Calibri" w:eastAsia="Calibri" w:hAnsi="Calibri"/>
          <w:color w:val="3D4653"/>
          <w:sz w:val="21"/>
          <w:szCs w:val="21"/>
        </w:rPr>
        <w:t xml:space="preserve">"API-First" means the contract comes first — OpenAPI for synchronous, AsyncAPI for event-driven. Consumer count is not the axis for choosing sync vs async. Availability, response-time budget, reliability and NFRs are.</w:t>
      </w:r>
    </w:p>
    <w:p>
      <w:pPr>
        <w:spacing w:after="60" w:before="140"/>
      </w:pPr>
      <w:r>
        <w:rPr>
          <w:rFonts w:ascii="Calibri" w:cs="Calibri" w:eastAsia="Calibri" w:hAnsi="Calibri"/>
          <w:b/>
          <w:bCs/>
          <w:color w:val="0F1723"/>
          <w:sz w:val="21"/>
          <w:szCs w:val="21"/>
        </w:rPr>
        <w:t xml:space="preserve">No async disguised as sync</w:t>
      </w:r>
    </w:p>
    <w:p>
      <w:pPr>
        <w:spacing w:after="120" w:line="276"/>
      </w:pPr>
      <w:r>
        <w:rPr>
          <w:rFonts w:ascii="Calibri" w:cs="Calibri" w:eastAsia="Calibri" w:hAnsi="Calibri"/>
          <w:color w:val="3D4653"/>
          <w:sz w:val="21"/>
          <w:szCs w:val="21"/>
        </w:rPr>
        <w:t xml:space="preserve">The guided selection wizard (REQ-02) must actively detect and flag the anti-pattern where a long-running or unreliable back-end is exposed behind a blocking synchronous call.</w:t>
      </w:r>
    </w:p>
    <w:p>
      <w:pPr>
        <w:spacing w:after="60" w:before="140"/>
      </w:pPr>
      <w:r>
        <w:rPr>
          <w:rFonts w:ascii="Calibri" w:cs="Calibri" w:eastAsia="Calibri" w:hAnsi="Calibri"/>
          <w:b/>
          <w:bCs/>
          <w:color w:val="0F1723"/>
          <w:sz w:val="21"/>
          <w:szCs w:val="21"/>
        </w:rPr>
        <w:t xml:space="preserve">Segregation of duties</w:t>
      </w:r>
    </w:p>
    <w:p>
      <w:pPr>
        <w:spacing w:after="120" w:line="276"/>
      </w:pPr>
      <w:r>
        <w:rPr>
          <w:rFonts w:ascii="Calibri" w:cs="Calibri" w:eastAsia="Calibri" w:hAnsi="Calibri"/>
          <w:color w:val="3D4653"/>
          <w:sz w:val="21"/>
          <w:szCs w:val="21"/>
        </w:rPr>
        <w:t xml:space="preserve">A requester can never approve their own request. This is a hard platform rule, not a policy hope (DEC-06).</w:t>
      </w:r>
    </w:p>
    <w:p>
      <w:pPr>
        <w:spacing w:after="60" w:before="140"/>
      </w:pPr>
      <w:r>
        <w:rPr>
          <w:rFonts w:ascii="Calibri" w:cs="Calibri" w:eastAsia="Calibri" w:hAnsi="Calibri"/>
          <w:b/>
          <w:bCs/>
          <w:color w:val="0F1723"/>
          <w:sz w:val="21"/>
          <w:szCs w:val="21"/>
        </w:rPr>
        <w:t xml:space="preserve">The portal is a front door, not a runtime</w:t>
      </w:r>
    </w:p>
    <w:p>
      <w:pPr>
        <w:spacing w:after="120" w:line="276"/>
      </w:pPr>
      <w:r>
        <w:rPr>
          <w:rFonts w:ascii="Calibri" w:cs="Calibri" w:eastAsia="Calibri" w:hAnsi="Calibri"/>
          <w:color w:val="3D4653"/>
          <w:sz w:val="21"/>
          <w:szCs w:val="21"/>
        </w:rPr>
        <w:t xml:space="preserve">Intelligrator provisions and governs. It does not sit in the data path. File payloads and API traffic never traverse the portal.</w:t>
      </w:r>
    </w:p>
    <w:p>
      <w:r>
        <w:br w:type="page"/>
      </w:r>
    </w:p>
    <w:p>
      <w:pPr>
        <w:pStyle w:val="Heading1"/>
        <w:spacing w:after="120" w:before="240"/>
      </w:pPr>
      <w:r>
        <w:rPr>
          <w:rFonts w:ascii="Calibri" w:cs="Calibri" w:eastAsia="Calibri" w:hAnsi="Calibri"/>
        </w:rPr>
        <w:t xml:space="preserve">5. P0 — Foundations</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1100"/>
        <w:gridCol w:w="1900"/>
        <w:gridCol w:w="1000"/>
        <w:gridCol w:w="2360"/>
        <w:gridCol w:w="1000"/>
        <w:gridCol w:w="2000"/>
      </w:tblGrid>
      <w:tr>
        <w:tc>
          <w:tcPr>
            <w:tcW w:type="dxa" w:w="11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Timing</w:t>
            </w:r>
          </w:p>
        </w:tc>
        <w:tc>
          <w:tcPr>
            <w:tcW w:type="dxa" w:w="19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1–4</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Theme</w:t>
            </w:r>
          </w:p>
        </w:tc>
        <w:tc>
          <w:tcPr>
            <w:tcW w:type="dxa" w:w="2360"/>
            <w:tcMar>
              <w:top w:type="dxa" w:w="80"/>
              <w:left w:type="dxa" w:w="110"/>
              <w:bottom w:type="dxa" w:w="80"/>
              <w:right w:type="dxa" w:w="110"/>
            </w:tcMar>
          </w:tcPr>
          <w:p>
            <w:pPr>
              <w:spacing w:after="0"/>
            </w:pPr>
            <w:r>
              <w:rPr>
                <w:rFonts w:ascii="Calibri" w:cs="Calibri" w:eastAsia="Calibri" w:hAnsi="Calibri"/>
                <w:color w:val="3D4653"/>
                <w:sz w:val="19"/>
                <w:szCs w:val="19"/>
              </w:rPr>
              <w:t xml:space="preserve">Platform enablement</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Stories</w:t>
            </w:r>
          </w:p>
        </w:tc>
        <w:tc>
          <w:tcPr>
            <w:tcW w:type="dxa" w:w="2000"/>
            <w:tcMar>
              <w:top w:type="dxa" w:w="80"/>
              <w:left w:type="dxa" w:w="110"/>
              <w:bottom w:type="dxa" w:w="80"/>
              <w:right w:type="dxa" w:w="110"/>
            </w:tcMar>
          </w:tcPr>
          <w:p>
            <w:pPr>
              <w:spacing w:after="0"/>
            </w:pPr>
            <w:r>
              <w:rPr>
                <w:rFonts w:ascii="Calibri" w:cs="Calibri" w:eastAsia="Calibri" w:hAnsi="Calibri"/>
                <w:color w:val="3D4653"/>
                <w:sz w:val="19"/>
                <w:szCs w:val="19"/>
              </w:rPr>
              <w:t xml:space="preserve">Technical enablers</w:t>
            </w:r>
          </w:p>
        </w:tc>
      </w:tr>
    </w:tbl>
    <w:p>
      <w:pPr>
        <w:pBdr>
          <w:left w:val="single" w:color="5A6472" w:sz="12" w:space="8"/>
        </w:pBdr>
        <w:spacing w:after="140" w:before="160"/>
        <w:ind w:left="220"/>
      </w:pPr>
      <w:r>
        <w:rPr>
          <w:rFonts w:ascii="Calibri" w:cs="Calibri" w:eastAsia="Calibri" w:hAnsi="Calibri"/>
          <w:b/>
          <w:bCs/>
          <w:color w:val="0F1723"/>
          <w:sz w:val="21"/>
          <w:szCs w:val="21"/>
        </w:rPr>
        <w:t xml:space="preserve">Goal.  </w:t>
      </w:r>
      <w:r>
        <w:rPr>
          <w:rFonts w:ascii="Calibri" w:cs="Calibri" w:eastAsia="Calibri" w:hAnsi="Calibri"/>
          <w:i/>
          <w:iCs/>
          <w:color w:val="1C2430"/>
          <w:sz w:val="21"/>
          <w:szCs w:val="21"/>
        </w:rPr>
        <w:t xml:space="preserve">Build the spine that every later phase sits on. Nothing user-facing ships in this phase — and that is the point.</w:t>
      </w:r>
    </w:p>
    <w:p>
      <w:pPr>
        <w:pStyle w:val="Heading2"/>
        <w:spacing w:after="120" w:before="240"/>
      </w:pPr>
      <w:r>
        <w:rPr>
          <w:rFonts w:ascii="Calibri" w:cs="Calibri" w:eastAsia="Calibri" w:hAnsi="Calibri"/>
        </w:rPr>
        <w:t xml:space="preserve">In scope</w:t>
      </w:r>
    </w:p>
    <w:p>
      <w:pPr>
        <w:pStyle w:val="ListParagraph"/>
        <w:numPr>
          <w:ilvl w:val="0"/>
          <w:numId w:val="2"/>
        </w:numPr>
        <w:spacing w:after="60" w:line="276"/>
      </w:pPr>
      <w:r>
        <w:rPr>
          <w:rFonts w:ascii="Calibri" w:cs="Calibri" w:eastAsia="Calibri" w:hAnsi="Calibri"/>
          <w:color w:val="3D4653"/>
          <w:sz w:val="20"/>
          <w:szCs w:val="20"/>
        </w:rPr>
        <w:t xml:space="preserve">MFT configuration schema designed and versioned (the table that the generic engine reads).</w:t>
      </w:r>
    </w:p>
    <w:p>
      <w:pPr>
        <w:pStyle w:val="ListParagraph"/>
        <w:numPr>
          <w:ilvl w:val="0"/>
          <w:numId w:val="2"/>
        </w:numPr>
        <w:spacing w:after="60" w:line="276"/>
      </w:pPr>
      <w:r>
        <w:rPr>
          <w:rFonts w:ascii="Calibri" w:cs="Calibri" w:eastAsia="Calibri" w:hAnsi="Calibri"/>
          <w:color w:val="3D4653"/>
          <w:sz w:val="20"/>
          <w:szCs w:val="20"/>
        </w:rPr>
        <w:t xml:space="preserve">The single generic Boomi MFT engine process hardened, parameterised and deployed to all environments.</w:t>
      </w:r>
    </w:p>
    <w:p>
      <w:pPr>
        <w:pStyle w:val="ListParagraph"/>
        <w:numPr>
          <w:ilvl w:val="0"/>
          <w:numId w:val="2"/>
        </w:numPr>
        <w:spacing w:after="60" w:line="276"/>
      </w:pPr>
      <w:r>
        <w:rPr>
          <w:rFonts w:ascii="Calibri" w:cs="Calibri" w:eastAsia="Calibri" w:hAnsi="Calibri"/>
          <w:color w:val="3D4653"/>
          <w:sz w:val="20"/>
          <w:szCs w:val="20"/>
        </w:rPr>
        <w:t xml:space="preserve">Secrets store integrated (vault) — no credential ever lands in the portal database.</w:t>
      </w:r>
    </w:p>
    <w:p>
      <w:pPr>
        <w:pStyle w:val="ListParagraph"/>
        <w:numPr>
          <w:ilvl w:val="0"/>
          <w:numId w:val="2"/>
        </w:numPr>
        <w:spacing w:after="60" w:line="276"/>
      </w:pPr>
      <w:r>
        <w:rPr>
          <w:rFonts w:ascii="Calibri" w:cs="Calibri" w:eastAsia="Calibri" w:hAnsi="Calibri"/>
          <w:color w:val="3D4653"/>
          <w:sz w:val="20"/>
          <w:szCs w:val="20"/>
        </w:rPr>
        <w:t xml:space="preserve">Append-only audit store stood up.</w:t>
      </w:r>
    </w:p>
    <w:p>
      <w:pPr>
        <w:pStyle w:val="ListParagraph"/>
        <w:numPr>
          <w:ilvl w:val="0"/>
          <w:numId w:val="2"/>
        </w:numPr>
        <w:spacing w:after="60" w:line="276"/>
      </w:pPr>
      <w:r>
        <w:rPr>
          <w:rFonts w:ascii="Calibri" w:cs="Calibri" w:eastAsia="Calibri" w:hAnsi="Calibri"/>
          <w:color w:val="3D4653"/>
          <w:sz w:val="20"/>
          <w:szCs w:val="20"/>
        </w:rPr>
        <w:t xml:space="preserve">Environments (DEV / TEST / PRE-PROD / PROD) and the CI/CD pipeline that promotes configuration, not code.</w:t>
      </w:r>
    </w:p>
    <w:p>
      <w:pPr>
        <w:pStyle w:val="ListParagraph"/>
        <w:numPr>
          <w:ilvl w:val="0"/>
          <w:numId w:val="2"/>
        </w:numPr>
        <w:spacing w:after="60" w:line="276"/>
      </w:pPr>
      <w:r>
        <w:rPr>
          <w:rFonts w:ascii="Calibri" w:cs="Calibri" w:eastAsia="Calibri" w:hAnsi="Calibri"/>
          <w:color w:val="3D4653"/>
          <w:sz w:val="20"/>
          <w:szCs w:val="20"/>
        </w:rPr>
        <w:t xml:space="preserve">Pluggable authentication abstraction — so that swapping local login for enterprise SSO in Phase 3 is a configuration change, not a rebuild.</w:t>
      </w:r>
    </w:p>
    <w:p>
      <w:pPr>
        <w:pStyle w:val="Heading2"/>
        <w:spacing w:after="120" w:before="240"/>
      </w:pPr>
      <w:r>
        <w:rPr>
          <w:rFonts w:ascii="Calibri" w:cs="Calibri" w:eastAsia="Calibri" w:hAnsi="Calibri"/>
        </w:rPr>
        <w:t xml:space="preserve">Explicitly not in this phase</w:t>
      </w:r>
    </w:p>
    <w:p>
      <w:pPr>
        <w:pStyle w:val="ListParagraph"/>
        <w:numPr>
          <w:ilvl w:val="0"/>
          <w:numId w:val="2"/>
        </w:numPr>
        <w:spacing w:after="60" w:line="276"/>
      </w:pPr>
      <w:r>
        <w:rPr>
          <w:rFonts w:ascii="Calibri" w:cs="Calibri" w:eastAsia="Calibri" w:hAnsi="Calibri"/>
          <w:color w:val="3D4653"/>
          <w:sz w:val="20"/>
          <w:szCs w:val="20"/>
        </w:rPr>
        <w:t xml:space="preserve">Any portal UI. Any request form. Any approval workflow.</w:t>
      </w:r>
    </w:p>
    <w:p>
      <w:pPr>
        <w:pStyle w:val="Heading2"/>
        <w:spacing w:after="120" w:before="240"/>
      </w:pPr>
      <w:r>
        <w:rPr>
          <w:rFonts w:ascii="Calibri" w:cs="Calibri" w:eastAsia="Calibri" w:hAnsi="Calibri"/>
        </w:rPr>
        <w:t xml:space="preserve">The automation that builds it</w:t>
      </w:r>
    </w:p>
    <w:p>
      <w:pPr>
        <w:spacing w:after="120" w:line="276"/>
      </w:pPr>
      <w:r>
        <w:rPr>
          <w:rFonts w:ascii="Calibri" w:cs="Calibri" w:eastAsia="Calibri" w:hAnsi="Calibri"/>
          <w:i/>
          <w:iCs/>
          <w:color w:val="7A8493"/>
          <w:sz w:val="19"/>
          <w:szCs w:val="19"/>
        </w:rPr>
        <w:t xml:space="preserve">This is the part that makes Intelligrator a product rather than a form. Everything below happens without a human opening Boomi.</w:t>
      </w:r>
    </w:p>
    <w:p>
      <w:pPr>
        <w:pStyle w:val="ListParagraph"/>
        <w:numPr>
          <w:ilvl w:val="0"/>
          <w:numId w:val="2"/>
        </w:numPr>
        <w:spacing w:after="60" w:line="276"/>
      </w:pPr>
      <w:r>
        <w:rPr>
          <w:rFonts w:ascii="Calibri" w:cs="Calibri" w:eastAsia="Calibri" w:hAnsi="Calibri"/>
          <w:color w:val="3D4653"/>
          <w:sz w:val="20"/>
          <w:szCs w:val="20"/>
        </w:rPr>
        <w:t xml:space="preserve">Pipeline that promotes a config row between environments with approval gates.</w:t>
      </w:r>
    </w:p>
    <w:p>
      <w:pPr>
        <w:pStyle w:val="ListParagraph"/>
        <w:numPr>
          <w:ilvl w:val="0"/>
          <w:numId w:val="2"/>
        </w:numPr>
        <w:spacing w:after="60" w:line="276"/>
      </w:pPr>
      <w:r>
        <w:rPr>
          <w:rFonts w:ascii="Calibri" w:cs="Calibri" w:eastAsia="Calibri" w:hAnsi="Calibri"/>
          <w:color w:val="3D4653"/>
          <w:sz w:val="20"/>
          <w:szCs w:val="20"/>
        </w:rPr>
        <w:t xml:space="preserve">Automated deployment of the generic engine to every Atom/environment.</w:t>
      </w:r>
    </w:p>
    <w:p>
      <w:pPr>
        <w:pStyle w:val="ListParagraph"/>
        <w:numPr>
          <w:ilvl w:val="0"/>
          <w:numId w:val="2"/>
        </w:numPr>
        <w:spacing w:after="60" w:line="276"/>
      </w:pPr>
      <w:r>
        <w:rPr>
          <w:rFonts w:ascii="Calibri" w:cs="Calibri" w:eastAsia="Calibri" w:hAnsi="Calibri"/>
          <w:color w:val="3D4653"/>
          <w:sz w:val="20"/>
          <w:szCs w:val="20"/>
        </w:rPr>
        <w:t xml:space="preserve">Schema-migration tooling so the config table can be extended without downtime.</w:t>
      </w:r>
    </w:p>
    <w:p>
      <w:pPr>
        <w:pStyle w:val="Heading2"/>
        <w:spacing w:after="120" w:before="240"/>
      </w:pPr>
      <w:r>
        <w:rPr>
          <w:rFonts w:ascii="Calibri" w:cs="Calibri" w:eastAsia="Calibri" w:hAnsi="Calibri"/>
        </w:rPr>
        <w:t xml:space="preserve">Exit criteria — how you know it is done</w:t>
      </w:r>
    </w:p>
    <w:p>
      <w:pPr>
        <w:pStyle w:val="ListParagraph"/>
        <w:numPr>
          <w:ilvl w:val="0"/>
          <w:numId w:val="2"/>
        </w:numPr>
        <w:spacing w:after="60" w:line="276"/>
      </w:pPr>
      <w:r>
        <w:rPr>
          <w:rFonts w:ascii="Calibri" w:cs="Calibri" w:eastAsia="Calibri" w:hAnsi="Calibri"/>
          <w:color w:val="3D4653"/>
          <w:sz w:val="20"/>
          <w:szCs w:val="20"/>
        </w:rPr>
        <w:t xml:space="preserve">A config row inserted by hand causes the generic engine to run a file transfer end-to-end, with no Boomi component created.</w:t>
      </w:r>
    </w:p>
    <w:p>
      <w:pPr>
        <w:pStyle w:val="ListParagraph"/>
        <w:numPr>
          <w:ilvl w:val="0"/>
          <w:numId w:val="2"/>
        </w:numPr>
        <w:spacing w:after="60" w:line="276"/>
      </w:pPr>
      <w:r>
        <w:rPr>
          <w:rFonts w:ascii="Calibri" w:cs="Calibri" w:eastAsia="Calibri" w:hAnsi="Calibri"/>
          <w:color w:val="3D4653"/>
          <w:sz w:val="20"/>
          <w:szCs w:val="20"/>
        </w:rPr>
        <w:t xml:space="preserve">A secret written to the vault is retrievable by the engine and by nothing else.</w:t>
      </w:r>
    </w:p>
    <w:p>
      <w:pPr>
        <w:pStyle w:val="ListParagraph"/>
        <w:numPr>
          <w:ilvl w:val="0"/>
          <w:numId w:val="2"/>
        </w:numPr>
        <w:spacing w:after="60" w:line="276"/>
      </w:pPr>
      <w:r>
        <w:rPr>
          <w:rFonts w:ascii="Calibri" w:cs="Calibri" w:eastAsia="Calibri" w:hAnsi="Calibri"/>
          <w:color w:val="3D4653"/>
          <w:sz w:val="20"/>
          <w:szCs w:val="20"/>
        </w:rPr>
        <w:t xml:space="preserve">The audit store rejects an update or delete.</w:t>
      </w:r>
    </w:p>
    <w:p>
      <w:pPr>
        <w:pStyle w:val="ListParagraph"/>
        <w:numPr>
          <w:ilvl w:val="0"/>
          <w:numId w:val="2"/>
        </w:numPr>
        <w:spacing w:after="60" w:line="276"/>
      </w:pPr>
      <w:r>
        <w:rPr>
          <w:rFonts w:ascii="Calibri" w:cs="Calibri" w:eastAsia="Calibri" w:hAnsi="Calibri"/>
          <w:color w:val="3D4653"/>
          <w:sz w:val="20"/>
          <w:szCs w:val="20"/>
        </w:rPr>
        <w:t xml:space="preserve">Authentication can be switched between two providers by configuration alone.</w:t>
      </w:r>
    </w:p>
    <w:p>
      <w:r>
        <w:br w:type="page"/>
      </w:r>
    </w:p>
    <w:p>
      <w:pPr>
        <w:pStyle w:val="Heading1"/>
        <w:spacing w:after="120" w:before="240"/>
      </w:pPr>
      <w:r>
        <w:rPr>
          <w:rFonts w:ascii="Calibri" w:cs="Calibri" w:eastAsia="Calibri" w:hAnsi="Calibri"/>
        </w:rPr>
        <w:t xml:space="preserve">6. P1 — MVP — MFT Self-Service</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1100"/>
        <w:gridCol w:w="1900"/>
        <w:gridCol w:w="1000"/>
        <w:gridCol w:w="2360"/>
        <w:gridCol w:w="1000"/>
        <w:gridCol w:w="2000"/>
      </w:tblGrid>
      <w:tr>
        <w:tc>
          <w:tcPr>
            <w:tcW w:type="dxa" w:w="11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Timing</w:t>
            </w:r>
          </w:p>
        </w:tc>
        <w:tc>
          <w:tcPr>
            <w:tcW w:type="dxa" w:w="19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3–14</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Theme</w:t>
            </w:r>
          </w:p>
        </w:tc>
        <w:tc>
          <w:tcPr>
            <w:tcW w:type="dxa" w:w="2360"/>
            <w:tcMar>
              <w:top w:type="dxa" w:w="80"/>
              <w:left w:type="dxa" w:w="110"/>
              <w:bottom w:type="dxa" w:w="80"/>
              <w:right w:type="dxa" w:w="110"/>
            </w:tcMar>
          </w:tcPr>
          <w:p>
            <w:pPr>
              <w:spacing w:after="0"/>
            </w:pPr>
            <w:r>
              <w:rPr>
                <w:rFonts w:ascii="Calibri" w:cs="Calibri" w:eastAsia="Calibri" w:hAnsi="Calibri"/>
                <w:color w:val="3D4653"/>
                <w:sz w:val="19"/>
                <w:szCs w:val="19"/>
              </w:rPr>
              <w:t xml:space="preserve">The one that proves it</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Stories</w:t>
            </w:r>
          </w:p>
        </w:tc>
        <w:tc>
          <w:tcPr>
            <w:tcW w:type="dxa" w:w="2000"/>
            <w:tcMar>
              <w:top w:type="dxa" w:w="80"/>
              <w:left w:type="dxa" w:w="110"/>
              <w:bottom w:type="dxa" w:w="80"/>
              <w:right w:type="dxa" w:w="110"/>
            </w:tcMar>
          </w:tcPr>
          <w:p>
            <w:pPr>
              <w:spacing w:after="0"/>
            </w:pPr>
            <w:r>
              <w:rPr>
                <w:rFonts w:ascii="Calibri" w:cs="Calibri" w:eastAsia="Calibri" w:hAnsi="Calibri"/>
                <w:color w:val="3D4653"/>
                <w:sz w:val="19"/>
                <w:szCs w:val="19"/>
              </w:rPr>
              <w:t xml:space="preserve">32  (156 pts)</w:t>
            </w:r>
          </w:p>
        </w:tc>
      </w:tr>
    </w:tbl>
    <w:p>
      <w:pPr>
        <w:pBdr>
          <w:left w:val="single" w:color="0B5FFF" w:sz="12" w:space="8"/>
        </w:pBdr>
        <w:spacing w:after="140" w:before="160"/>
        <w:ind w:left="220"/>
      </w:pPr>
      <w:r>
        <w:rPr>
          <w:rFonts w:ascii="Calibri" w:cs="Calibri" w:eastAsia="Calibri" w:hAnsi="Calibri"/>
          <w:b/>
          <w:bCs/>
          <w:color w:val="0F1723"/>
          <w:sz w:val="21"/>
          <w:szCs w:val="21"/>
        </w:rPr>
        <w:t xml:space="preserve">Goal.  </w:t>
      </w:r>
      <w:r>
        <w:rPr>
          <w:rFonts w:ascii="Calibri" w:cs="Calibri" w:eastAsia="Calibri" w:hAnsi="Calibri"/>
          <w:i/>
          <w:iCs/>
          <w:color w:val="1C2430"/>
          <w:sz w:val="21"/>
          <w:szCs w:val="21"/>
        </w:rPr>
        <w:t xml:space="preserve">A user logs in with a username and password, submits a Managed File Transfer request, an admin accepts or rejects it, and an approved request is provisioned automatically with no human touching Boomi.</w:t>
      </w:r>
    </w:p>
    <w:p>
      <w:pPr>
        <w:pStyle w:val="Heading2"/>
        <w:spacing w:after="120" w:before="240"/>
      </w:pPr>
      <w:r>
        <w:rPr>
          <w:rFonts w:ascii="Calibri" w:cs="Calibri" w:eastAsia="Calibri" w:hAnsi="Calibri"/>
        </w:rPr>
        <w:t xml:space="preserve">In scope</w:t>
      </w:r>
    </w:p>
    <w:p>
      <w:pPr>
        <w:pStyle w:val="ListParagraph"/>
        <w:numPr>
          <w:ilvl w:val="0"/>
          <w:numId w:val="2"/>
        </w:numPr>
        <w:spacing w:after="60" w:line="276"/>
      </w:pPr>
      <w:r>
        <w:rPr>
          <w:rFonts w:ascii="Calibri" w:cs="Calibri" w:eastAsia="Calibri" w:hAnsi="Calibri"/>
          <w:color w:val="3D4653"/>
          <w:sz w:val="20"/>
          <w:szCs w:val="20"/>
        </w:rPr>
        <w:t xml:space="preserve">Local username-and-password authentication with self-registration and account approval.</w:t>
      </w:r>
    </w:p>
    <w:p>
      <w:pPr>
        <w:pStyle w:val="ListParagraph"/>
        <w:numPr>
          <w:ilvl w:val="0"/>
          <w:numId w:val="2"/>
        </w:numPr>
        <w:spacing w:after="60" w:line="276"/>
      </w:pPr>
      <w:r>
        <w:rPr>
          <w:rFonts w:ascii="Calibri" w:cs="Calibri" w:eastAsia="Calibri" w:hAnsi="Calibri"/>
          <w:color w:val="3D4653"/>
          <w:sz w:val="20"/>
          <w:szCs w:val="20"/>
        </w:rPr>
        <w:t xml:space="preserve">The full MFT request form: identity, endpoints, file characteristics, trigger, security, classification, resilience, environment.</w:t>
      </w:r>
    </w:p>
    <w:p>
      <w:pPr>
        <w:pStyle w:val="ListParagraph"/>
        <w:numPr>
          <w:ilvl w:val="0"/>
          <w:numId w:val="2"/>
        </w:numPr>
        <w:spacing w:after="60" w:line="276"/>
      </w:pPr>
      <w:r>
        <w:rPr>
          <w:rFonts w:ascii="Calibri" w:cs="Calibri" w:eastAsia="Calibri" w:hAnsi="Calibri"/>
          <w:color w:val="3D4653"/>
          <w:sz w:val="20"/>
          <w:szCs w:val="20"/>
        </w:rPr>
        <w:t xml:space="preserve">Draft, submit, track, withdraw. Respond to a request for information.</w:t>
      </w:r>
    </w:p>
    <w:p>
      <w:pPr>
        <w:pStyle w:val="ListParagraph"/>
        <w:numPr>
          <w:ilvl w:val="0"/>
          <w:numId w:val="2"/>
        </w:numPr>
        <w:spacing w:after="60" w:line="276"/>
      </w:pPr>
      <w:r>
        <w:rPr>
          <w:rFonts w:ascii="Calibri" w:cs="Calibri" w:eastAsia="Calibri" w:hAnsi="Calibri"/>
          <w:color w:val="3D4653"/>
          <w:sz w:val="20"/>
          <w:szCs w:val="20"/>
        </w:rPr>
        <w:t xml:space="preserve">Admin approval queue with basic pre-checks (naming standard, duplicate detection, credential validity).</w:t>
      </w:r>
    </w:p>
    <w:p>
      <w:pPr>
        <w:pStyle w:val="ListParagraph"/>
        <w:numPr>
          <w:ilvl w:val="0"/>
          <w:numId w:val="2"/>
        </w:numPr>
        <w:spacing w:after="60" w:line="276"/>
      </w:pPr>
      <w:r>
        <w:rPr>
          <w:rFonts w:ascii="Calibri" w:cs="Calibri" w:eastAsia="Calibri" w:hAnsi="Calibri"/>
          <w:color w:val="3D4653"/>
          <w:sz w:val="20"/>
          <w:szCs w:val="20"/>
        </w:rPr>
        <w:t xml:space="preserve">Accept, reject with reason code, or return for more information. Segregation of duties enforced server-side.</w:t>
      </w:r>
    </w:p>
    <w:p>
      <w:pPr>
        <w:pStyle w:val="ListParagraph"/>
        <w:numPr>
          <w:ilvl w:val="0"/>
          <w:numId w:val="2"/>
        </w:numPr>
        <w:spacing w:after="60" w:line="276"/>
      </w:pPr>
      <w:r>
        <w:rPr>
          <w:rFonts w:ascii="Calibri" w:cs="Calibri" w:eastAsia="Calibri" w:hAnsi="Calibri"/>
          <w:color w:val="3D4653"/>
          <w:sz w:val="20"/>
          <w:szCs w:val="20"/>
        </w:rPr>
        <w:t xml:space="preserve">The build automation: approval writes ONE config row, the generic engine picks it up, the endpoint is provisioned, credentials are issued into the vault, and a smoke test runs.</w:t>
      </w:r>
    </w:p>
    <w:p>
      <w:pPr>
        <w:pStyle w:val="Heading2"/>
        <w:spacing w:after="120" w:before="240"/>
      </w:pPr>
      <w:r>
        <w:rPr>
          <w:rFonts w:ascii="Calibri" w:cs="Calibri" w:eastAsia="Calibri" w:hAnsi="Calibri"/>
        </w:rPr>
        <w:t xml:space="preserve">Explicitly not in this phase</w:t>
      </w:r>
    </w:p>
    <w:p>
      <w:pPr>
        <w:pStyle w:val="ListParagraph"/>
        <w:numPr>
          <w:ilvl w:val="0"/>
          <w:numId w:val="2"/>
        </w:numPr>
        <w:spacing w:after="60" w:line="276"/>
      </w:pPr>
      <w:r>
        <w:rPr>
          <w:rFonts w:ascii="Calibri" w:cs="Calibri" w:eastAsia="Calibri" w:hAnsi="Calibri"/>
          <w:color w:val="3D4653"/>
          <w:sz w:val="20"/>
          <w:szCs w:val="20"/>
        </w:rPr>
        <w:t xml:space="preserve">Enterprise SSO and step-up MFA — Phase 3.</w:t>
      </w:r>
    </w:p>
    <w:p>
      <w:pPr>
        <w:pStyle w:val="ListParagraph"/>
        <w:numPr>
          <w:ilvl w:val="0"/>
          <w:numId w:val="2"/>
        </w:numPr>
        <w:spacing w:after="60" w:line="276"/>
      </w:pPr>
      <w:r>
        <w:rPr>
          <w:rFonts w:ascii="Calibri" w:cs="Calibri" w:eastAsia="Calibri" w:hAnsi="Calibri"/>
          <w:color w:val="3D4653"/>
          <w:sz w:val="20"/>
          <w:szCs w:val="20"/>
        </w:rPr>
        <w:t xml:space="preserve">Anything API. Anything event-driven.</w:t>
      </w:r>
    </w:p>
    <w:p>
      <w:pPr>
        <w:pStyle w:val="ListParagraph"/>
        <w:numPr>
          <w:ilvl w:val="0"/>
          <w:numId w:val="2"/>
        </w:numPr>
        <w:spacing w:after="60" w:line="276"/>
      </w:pPr>
      <w:r>
        <w:rPr>
          <w:rFonts w:ascii="Calibri" w:cs="Calibri" w:eastAsia="Calibri" w:hAnsi="Calibri"/>
          <w:color w:val="3D4653"/>
          <w:sz w:val="20"/>
          <w:szCs w:val="20"/>
        </w:rPr>
        <w:t xml:space="preserve">Conditional approval, delegation, fast-path, reporting dashboards.</w:t>
      </w:r>
    </w:p>
    <w:p>
      <w:pPr>
        <w:pStyle w:val="Heading2"/>
        <w:spacing w:after="120" w:before="240"/>
      </w:pPr>
      <w:r>
        <w:rPr>
          <w:rFonts w:ascii="Calibri" w:cs="Calibri" w:eastAsia="Calibri" w:hAnsi="Calibri"/>
        </w:rPr>
        <w:t xml:space="preserve">The automation that builds it</w:t>
      </w:r>
    </w:p>
    <w:p>
      <w:pPr>
        <w:spacing w:after="120" w:line="276"/>
      </w:pPr>
      <w:r>
        <w:rPr>
          <w:rFonts w:ascii="Calibri" w:cs="Calibri" w:eastAsia="Calibri" w:hAnsi="Calibri"/>
          <w:i/>
          <w:iCs/>
          <w:color w:val="7A8493"/>
          <w:sz w:val="19"/>
          <w:szCs w:val="19"/>
        </w:rPr>
        <w:t xml:space="preserve">This is the part that makes Intelligrator a product rather than a form. Everything below happens without a human opening Boomi.</w:t>
      </w:r>
    </w:p>
    <w:p>
      <w:pPr>
        <w:pStyle w:val="ListParagraph"/>
        <w:numPr>
          <w:ilvl w:val="0"/>
          <w:numId w:val="2"/>
        </w:numPr>
        <w:spacing w:after="60" w:line="276"/>
      </w:pPr>
      <w:r>
        <w:rPr>
          <w:rFonts w:ascii="Calibri" w:cs="Calibri" w:eastAsia="Calibri" w:hAnsi="Calibri"/>
          <w:color w:val="3D4653"/>
          <w:sz w:val="20"/>
          <w:szCs w:val="20"/>
        </w:rPr>
        <w:t xml:space="preserve">Approve → config row written, keyed to the request reference.</w:t>
      </w:r>
    </w:p>
    <w:p>
      <w:pPr>
        <w:pStyle w:val="ListParagraph"/>
        <w:numPr>
          <w:ilvl w:val="0"/>
          <w:numId w:val="2"/>
        </w:numPr>
        <w:spacing w:after="60" w:line="276"/>
      </w:pPr>
      <w:r>
        <w:rPr>
          <w:rFonts w:ascii="Calibri" w:cs="Calibri" w:eastAsia="Calibri" w:hAnsi="Calibri"/>
          <w:color w:val="3D4653"/>
          <w:sz w:val="20"/>
          <w:szCs w:val="20"/>
        </w:rPr>
        <w:t xml:space="preserve">Partner endpoint / virtual user created via the Boomi MFT (Thru) management API.</w:t>
      </w:r>
    </w:p>
    <w:p>
      <w:pPr>
        <w:pStyle w:val="ListParagraph"/>
        <w:numPr>
          <w:ilvl w:val="0"/>
          <w:numId w:val="2"/>
        </w:numPr>
        <w:spacing w:after="60" w:line="276"/>
      </w:pPr>
      <w:r>
        <w:rPr>
          <w:rFonts w:ascii="Calibri" w:cs="Calibri" w:eastAsia="Calibri" w:hAnsi="Calibri"/>
          <w:color w:val="3D4653"/>
          <w:sz w:val="20"/>
          <w:szCs w:val="20"/>
        </w:rPr>
        <w:t xml:space="preserve">SSH keys or certificates generated in the vault and delivered by a one-time, re-authenticated reveal.</w:t>
      </w:r>
    </w:p>
    <w:p>
      <w:pPr>
        <w:pStyle w:val="ListParagraph"/>
        <w:numPr>
          <w:ilvl w:val="0"/>
          <w:numId w:val="2"/>
        </w:numPr>
        <w:spacing w:after="60" w:line="276"/>
      </w:pPr>
      <w:r>
        <w:rPr>
          <w:rFonts w:ascii="Calibri" w:cs="Calibri" w:eastAsia="Calibri" w:hAnsi="Calibri"/>
          <w:color w:val="3D4653"/>
          <w:sz w:val="20"/>
          <w:szCs w:val="20"/>
        </w:rPr>
        <w:t xml:space="preserve">Connectivity smoke test executed; result recorded against the interface.</w:t>
      </w:r>
    </w:p>
    <w:p>
      <w:pPr>
        <w:pStyle w:val="ListParagraph"/>
        <w:numPr>
          <w:ilvl w:val="0"/>
          <w:numId w:val="2"/>
        </w:numPr>
        <w:spacing w:after="60" w:line="276"/>
      </w:pPr>
      <w:r>
        <w:rPr>
          <w:rFonts w:ascii="Calibri" w:cs="Calibri" w:eastAsia="Calibri" w:hAnsi="Calibri"/>
          <w:color w:val="3D4653"/>
          <w:sz w:val="20"/>
          <w:szCs w:val="20"/>
        </w:rPr>
        <w:t xml:space="preserve">Rollback of partial configuration on any provisioning failure.</w:t>
      </w:r>
    </w:p>
    <w:p>
      <w:pPr>
        <w:pStyle w:val="Heading2"/>
        <w:spacing w:after="120" w:before="240"/>
      </w:pPr>
      <w:r>
        <w:rPr>
          <w:rFonts w:ascii="Calibri" w:cs="Calibri" w:eastAsia="Calibri" w:hAnsi="Calibri"/>
        </w:rPr>
        <w:t xml:space="preserve">Exit criteria — how you know it is done</w:t>
      </w:r>
    </w:p>
    <w:p>
      <w:pPr>
        <w:pStyle w:val="ListParagraph"/>
        <w:numPr>
          <w:ilvl w:val="0"/>
          <w:numId w:val="2"/>
        </w:numPr>
        <w:spacing w:after="60" w:line="276"/>
      </w:pPr>
      <w:r>
        <w:rPr>
          <w:rFonts w:ascii="Calibri" w:cs="Calibri" w:eastAsia="Calibri" w:hAnsi="Calibri"/>
          <w:color w:val="3D4653"/>
          <w:sz w:val="20"/>
          <w:szCs w:val="20"/>
        </w:rPr>
        <w:t xml:space="preserve">A requester who has never used Boomi onboards a working SFTP interface without raising a ticket.</w:t>
      </w:r>
    </w:p>
    <w:p>
      <w:pPr>
        <w:pStyle w:val="ListParagraph"/>
        <w:numPr>
          <w:ilvl w:val="0"/>
          <w:numId w:val="2"/>
        </w:numPr>
        <w:spacing w:after="60" w:line="276"/>
      </w:pPr>
      <w:r>
        <w:rPr>
          <w:rFonts w:ascii="Calibri" w:cs="Calibri" w:eastAsia="Calibri" w:hAnsi="Calibri"/>
          <w:color w:val="3D4653"/>
          <w:sz w:val="20"/>
          <w:szCs w:val="20"/>
        </w:rPr>
        <w:t xml:space="preserve">End-to-end lead time from submission to Live is under the agreed target, measured, not asserted.</w:t>
      </w:r>
    </w:p>
    <w:p>
      <w:pPr>
        <w:pStyle w:val="ListParagraph"/>
        <w:numPr>
          <w:ilvl w:val="0"/>
          <w:numId w:val="2"/>
        </w:numPr>
        <w:spacing w:after="60" w:line="276"/>
      </w:pPr>
      <w:r>
        <w:rPr>
          <w:rFonts w:ascii="Calibri" w:cs="Calibri" w:eastAsia="Calibri" w:hAnsi="Calibri"/>
          <w:color w:val="3D4653"/>
          <w:sz w:val="20"/>
          <w:szCs w:val="20"/>
        </w:rPr>
        <w:t xml:space="preserve">Zero new Boomi components created per interface — verified by component count before and after ten onboardings.</w:t>
      </w:r>
    </w:p>
    <w:p>
      <w:pPr>
        <w:pStyle w:val="ListParagraph"/>
        <w:numPr>
          <w:ilvl w:val="0"/>
          <w:numId w:val="2"/>
        </w:numPr>
        <w:spacing w:after="60" w:line="276"/>
      </w:pPr>
      <w:r>
        <w:rPr>
          <w:rFonts w:ascii="Calibri" w:cs="Calibri" w:eastAsia="Calibri" w:hAnsi="Calibri"/>
          <w:color w:val="3D4653"/>
          <w:sz w:val="20"/>
          <w:szCs w:val="20"/>
        </w:rPr>
        <w:t xml:space="preserve">No requester can approve their own request, proven by a direct API call that is rejected.</w:t>
      </w:r>
    </w:p>
    <w:p>
      <w:pPr>
        <w:pStyle w:val="Heading2"/>
        <w:spacing w:after="120" w:before="240"/>
      </w:pPr>
      <w:r>
        <w:rPr>
          <w:rFonts w:ascii="Calibri" w:cs="Calibri" w:eastAsia="Calibri" w:hAnsi="Calibri"/>
        </w:rPr>
        <w:t xml:space="preserve">Backlog</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900"/>
        <w:gridCol w:w="5300"/>
        <w:gridCol w:w="1560"/>
        <w:gridCol w:w="900"/>
        <w:gridCol w:w="700"/>
      </w:tblGrid>
      <w:tr>
        <w:trPr>
          <w:tblHeader/>
        </w:trPr>
        <w:tc>
          <w:tcPr>
            <w:tcW w:type="dxa" w:w="900"/>
            <w:shd w:fill="0B5FFF"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ID</w:t>
            </w:r>
          </w:p>
        </w:tc>
        <w:tc>
          <w:tcPr>
            <w:tcW w:type="dxa" w:w="5300"/>
            <w:shd w:fill="0B5FFF"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Story</w:t>
            </w:r>
          </w:p>
        </w:tc>
        <w:tc>
          <w:tcPr>
            <w:tcW w:type="dxa" w:w="1560"/>
            <w:shd w:fill="0B5FFF"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Persona</w:t>
            </w:r>
          </w:p>
        </w:tc>
        <w:tc>
          <w:tcPr>
            <w:tcW w:type="dxa" w:w="900"/>
            <w:shd w:fill="0B5FFF"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w:t>
            </w:r>
          </w:p>
        </w:tc>
        <w:tc>
          <w:tcPr>
            <w:tcW w:type="dxa" w:w="700"/>
            <w:shd w:fill="0B5FFF"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Pts</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ACC-01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Discover the portal and understand what it is for</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ACC-03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Role-based landing dashboard</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ACC-04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Organisation and service-line context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ACC-05</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Secure session handling and sign-out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2</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REQ-01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Choose the request type: MFT or API</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REQ-03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Save a draft and resume later</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Capture MFT interface identity and ownership</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Define source and target endpoints and transfer direction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Specify file characteristics and volumetrics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Specify the trigger: event-driven, polled or scheduled</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MFT-05</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Declare security: keys, certificates, encryption and allow-listing</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MFT-06</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Declare data classification and residency</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MFT-07</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Configure error handling, retries and alert routing</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MFT-08</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Select environments and promotion path</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MFT-09</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Review the generated config row before submitting</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MFT-10</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Submit the MFT request for approval</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TRK-01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Track the status of my requests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TRK-02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Be notified when a decision or query is raised</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TRK-03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Respond to a request for more information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TRK-05</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Withdraw a request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2</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ADM-02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Work an approval queue prioritised by risk and SLA</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ADM-03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Open a request and see the complete submission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DEC-01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Approve a request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DEC-02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Reject a request with a reason the requester can act 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DEC-03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Return a request for more information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DEC-06</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Enforce segregation of duties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PRV-01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Approval writes a configuration row — not a new component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Platform Engineer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PRV-02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Issue credentials securely on approval</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PRV-03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See provisioning succeed or fail, and roll back cleanly</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AUD-01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Maintain an immutable audit trail</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ACC-06</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Sign in with a username and password (MVP authentication)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ACC-07</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Register an account and have it approved by an administrator</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bl>
    <w:p>
      <w:r>
        <w:br w:type="page"/>
      </w:r>
    </w:p>
    <w:p>
      <w:pPr>
        <w:pStyle w:val="Heading1"/>
        <w:spacing w:after="120" w:before="240"/>
      </w:pPr>
      <w:r>
        <w:rPr>
          <w:rFonts w:ascii="Calibri" w:cs="Calibri" w:eastAsia="Calibri" w:hAnsi="Calibri"/>
        </w:rPr>
        <w:t xml:space="preserve">7. P2 — API Onboarding, Build &amp; Composition</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1100"/>
        <w:gridCol w:w="1900"/>
        <w:gridCol w:w="1000"/>
        <w:gridCol w:w="2360"/>
        <w:gridCol w:w="1000"/>
        <w:gridCol w:w="2000"/>
      </w:tblGrid>
      <w:tr>
        <w:tc>
          <w:tcPr>
            <w:tcW w:type="dxa" w:w="11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Timing</w:t>
            </w:r>
          </w:p>
        </w:tc>
        <w:tc>
          <w:tcPr>
            <w:tcW w:type="dxa" w:w="19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15–28</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Theme</w:t>
            </w:r>
          </w:p>
        </w:tc>
        <w:tc>
          <w:tcPr>
            <w:tcW w:type="dxa" w:w="2360"/>
            <w:tcMar>
              <w:top w:type="dxa" w:w="80"/>
              <w:left w:type="dxa" w:w="110"/>
              <w:bottom w:type="dxa" w:w="80"/>
              <w:right w:type="dxa" w:w="110"/>
            </w:tcMar>
          </w:tcPr>
          <w:p>
            <w:pPr>
              <w:spacing w:after="0"/>
            </w:pPr>
            <w:r>
              <w:rPr>
                <w:rFonts w:ascii="Calibri" w:cs="Calibri" w:eastAsia="Calibri" w:hAnsi="Calibri"/>
                <w:color w:val="3D4653"/>
                <w:sz w:val="19"/>
                <w:szCs w:val="19"/>
              </w:rPr>
              <w:t xml:space="preserve">Contract in, API out</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Stories</w:t>
            </w:r>
          </w:p>
        </w:tc>
        <w:tc>
          <w:tcPr>
            <w:tcW w:type="dxa" w:w="2000"/>
            <w:tcMar>
              <w:top w:type="dxa" w:w="80"/>
              <w:left w:type="dxa" w:w="110"/>
              <w:bottom w:type="dxa" w:w="80"/>
              <w:right w:type="dxa" w:w="110"/>
            </w:tcMar>
          </w:tcPr>
          <w:p>
            <w:pPr>
              <w:spacing w:after="0"/>
            </w:pPr>
            <w:r>
              <w:rPr>
                <w:rFonts w:ascii="Calibri" w:cs="Calibri" w:eastAsia="Calibri" w:hAnsi="Calibri"/>
                <w:color w:val="3D4653"/>
                <w:sz w:val="19"/>
                <w:szCs w:val="19"/>
              </w:rPr>
              <w:t xml:space="preserve">14  (105 pts)</w:t>
            </w:r>
          </w:p>
        </w:tc>
      </w:tr>
    </w:tbl>
    <w:p>
      <w:pPr>
        <w:pBdr>
          <w:left w:val="single" w:color="7A3DB8" w:sz="12" w:space="8"/>
        </w:pBdr>
        <w:spacing w:after="140" w:before="160"/>
        <w:ind w:left="220"/>
      </w:pPr>
      <w:r>
        <w:rPr>
          <w:rFonts w:ascii="Calibri" w:cs="Calibri" w:eastAsia="Calibri" w:hAnsi="Calibri"/>
          <w:b/>
          <w:bCs/>
          <w:color w:val="0F1723"/>
          <w:sz w:val="21"/>
          <w:szCs w:val="21"/>
        </w:rPr>
        <w:t xml:space="preserve">Goal.  </w:t>
      </w:r>
      <w:r>
        <w:rPr>
          <w:rFonts w:ascii="Calibri" w:cs="Calibri" w:eastAsia="Calibri" w:hAnsi="Calibri"/>
          <w:i/>
          <w:iCs/>
          <w:color w:val="1C2430"/>
          <w:sz w:val="21"/>
          <w:szCs w:val="21"/>
        </w:rPr>
        <w:t xml:space="preserve">A user uploads an OpenAPI specification, the platform validates it, builds and deploys the API automatically, and lets them compose several published APIs into a single mashup — all without a developer writing a Boomi process.</w:t>
      </w:r>
    </w:p>
    <w:p>
      <w:pPr>
        <w:pStyle w:val="Heading2"/>
        <w:spacing w:after="120" w:before="240"/>
      </w:pPr>
      <w:r>
        <w:rPr>
          <w:rFonts w:ascii="Calibri" w:cs="Calibri" w:eastAsia="Calibri" w:hAnsi="Calibri"/>
        </w:rPr>
        <w:t xml:space="preserve">In scope</w:t>
      </w:r>
    </w:p>
    <w:p>
      <w:pPr>
        <w:pStyle w:val="ListParagraph"/>
        <w:numPr>
          <w:ilvl w:val="0"/>
          <w:numId w:val="2"/>
        </w:numPr>
        <w:spacing w:after="60" w:line="276"/>
      </w:pPr>
      <w:r>
        <w:rPr>
          <w:rFonts w:ascii="Calibri" w:cs="Calibri" w:eastAsia="Calibri" w:hAnsi="Calibri"/>
          <w:color w:val="3D4653"/>
          <w:sz w:val="20"/>
          <w:szCs w:val="20"/>
        </w:rPr>
        <w:t xml:space="preserve">API request form: identity, contract-first upload (OpenAPI 3.x), interaction style, auth model, traffic profile, routing.</w:t>
      </w:r>
    </w:p>
    <w:p>
      <w:pPr>
        <w:pStyle w:val="ListParagraph"/>
        <w:numPr>
          <w:ilvl w:val="0"/>
          <w:numId w:val="2"/>
        </w:numPr>
        <w:spacing w:after="60" w:line="276"/>
      </w:pPr>
      <w:r>
        <w:rPr>
          <w:rFonts w:ascii="Calibri" w:cs="Calibri" w:eastAsia="Calibri" w:hAnsi="Calibri"/>
          <w:color w:val="3D4653"/>
          <w:sz w:val="20"/>
          <w:szCs w:val="20"/>
        </w:rPr>
        <w:t xml:space="preserve">Contract linting against the departmental API standards ruleset, with errors anchored to the offending line.</w:t>
      </w:r>
    </w:p>
    <w:p>
      <w:pPr>
        <w:pStyle w:val="ListParagraph"/>
        <w:numPr>
          <w:ilvl w:val="0"/>
          <w:numId w:val="2"/>
        </w:numPr>
        <w:spacing w:after="60" w:line="276"/>
      </w:pPr>
      <w:r>
        <w:rPr>
          <w:rFonts w:ascii="Calibri" w:cs="Calibri" w:eastAsia="Calibri" w:hAnsi="Calibri"/>
          <w:color w:val="3D4653"/>
          <w:sz w:val="20"/>
          <w:szCs w:val="20"/>
        </w:rPr>
        <w:t xml:space="preserve">Automated build: the API proxy, its operations and its gateway policies are generated from the contract and deployed.</w:t>
      </w:r>
    </w:p>
    <w:p>
      <w:pPr>
        <w:pStyle w:val="ListParagraph"/>
        <w:numPr>
          <w:ilvl w:val="0"/>
          <w:numId w:val="2"/>
        </w:numPr>
        <w:spacing w:after="60" w:line="276"/>
      </w:pPr>
      <w:r>
        <w:rPr>
          <w:rFonts w:ascii="Calibri" w:cs="Calibri" w:eastAsia="Calibri" w:hAnsi="Calibri"/>
          <w:color w:val="3D4653"/>
          <w:sz w:val="20"/>
          <w:szCs w:val="20"/>
        </w:rPr>
        <w:t xml:space="preserve">Sandbox: a mock generated from the contract so the requester can test before submitting.</w:t>
      </w:r>
    </w:p>
    <w:p>
      <w:pPr>
        <w:pStyle w:val="ListParagraph"/>
        <w:numPr>
          <w:ilvl w:val="0"/>
          <w:numId w:val="2"/>
        </w:numPr>
        <w:spacing w:after="60" w:line="276"/>
      </w:pPr>
      <w:r>
        <w:rPr>
          <w:rFonts w:ascii="Calibri" w:cs="Calibri" w:eastAsia="Calibri" w:hAnsi="Calibri"/>
          <w:color w:val="3D4653"/>
          <w:sz w:val="20"/>
          <w:szCs w:val="20"/>
        </w:rPr>
        <w:t xml:space="preserve">Mashup / composite APIs: declaratively compose published APIs into a new one — sequence, parallel fan-out/fan-in, field mapping and response shaping.</w:t>
      </w:r>
    </w:p>
    <w:p>
      <w:pPr>
        <w:pStyle w:val="ListParagraph"/>
        <w:numPr>
          <w:ilvl w:val="0"/>
          <w:numId w:val="2"/>
        </w:numPr>
        <w:spacing w:after="60" w:line="276"/>
      </w:pPr>
      <w:r>
        <w:rPr>
          <w:rFonts w:ascii="Calibri" w:cs="Calibri" w:eastAsia="Calibri" w:hAnsi="Calibri"/>
          <w:color w:val="3D4653"/>
          <w:sz w:val="20"/>
          <w:szCs w:val="20"/>
        </w:rPr>
        <w:t xml:space="preserve">Consumer self-service: browse the catalogue, subscribe to a published API, request credentials.</w:t>
      </w:r>
    </w:p>
    <w:p>
      <w:pPr>
        <w:pStyle w:val="ListParagraph"/>
        <w:numPr>
          <w:ilvl w:val="0"/>
          <w:numId w:val="2"/>
        </w:numPr>
        <w:spacing w:after="60" w:line="276"/>
      </w:pPr>
      <w:r>
        <w:rPr>
          <w:rFonts w:ascii="Calibri" w:cs="Calibri" w:eastAsia="Calibri" w:hAnsi="Calibri"/>
          <w:color w:val="3D4653"/>
          <w:sz w:val="20"/>
          <w:szCs w:val="20"/>
        </w:rPr>
        <w:t xml:space="preserve">Versioning, deprecation and retirement of a published API.</w:t>
      </w:r>
    </w:p>
    <w:p>
      <w:pPr>
        <w:pStyle w:val="ListParagraph"/>
        <w:numPr>
          <w:ilvl w:val="0"/>
          <w:numId w:val="2"/>
        </w:numPr>
        <w:spacing w:after="60" w:line="276"/>
      </w:pPr>
      <w:r>
        <w:rPr>
          <w:rFonts w:ascii="Calibri" w:cs="Calibri" w:eastAsia="Calibri" w:hAnsi="Calibri"/>
          <w:color w:val="3D4653"/>
          <w:sz w:val="20"/>
          <w:szCs w:val="20"/>
        </w:rPr>
        <w:t xml:space="preserve">The guided pattern-selection wizard, including detection of async-disguised-as-sync.</w:t>
      </w:r>
    </w:p>
    <w:p>
      <w:pPr>
        <w:pStyle w:val="Heading2"/>
        <w:spacing w:after="120" w:before="240"/>
      </w:pPr>
      <w:r>
        <w:rPr>
          <w:rFonts w:ascii="Calibri" w:cs="Calibri" w:eastAsia="Calibri" w:hAnsi="Calibri"/>
        </w:rPr>
        <w:t xml:space="preserve">Explicitly not in this phase</w:t>
      </w:r>
    </w:p>
    <w:p>
      <w:pPr>
        <w:pStyle w:val="ListParagraph"/>
        <w:numPr>
          <w:ilvl w:val="0"/>
          <w:numId w:val="2"/>
        </w:numPr>
        <w:spacing w:after="60" w:line="276"/>
      </w:pPr>
      <w:r>
        <w:rPr>
          <w:rFonts w:ascii="Calibri" w:cs="Calibri" w:eastAsia="Calibri" w:hAnsi="Calibri"/>
          <w:color w:val="3D4653"/>
          <w:sz w:val="20"/>
          <w:szCs w:val="20"/>
        </w:rPr>
        <w:t xml:space="preserve">AsyncAPI and event-driven onboarding — Phase 4.</w:t>
      </w:r>
    </w:p>
    <w:p>
      <w:pPr>
        <w:pStyle w:val="ListParagraph"/>
        <w:numPr>
          <w:ilvl w:val="0"/>
          <w:numId w:val="2"/>
        </w:numPr>
        <w:spacing w:after="60" w:line="276"/>
      </w:pPr>
      <w:r>
        <w:rPr>
          <w:rFonts w:ascii="Calibri" w:cs="Calibri" w:eastAsia="Calibri" w:hAnsi="Calibri"/>
          <w:color w:val="3D4653"/>
          <w:sz w:val="20"/>
          <w:szCs w:val="20"/>
        </w:rPr>
        <w:t xml:space="preserve">SSO — Phase 3.</w:t>
      </w:r>
    </w:p>
    <w:p>
      <w:pPr>
        <w:pStyle w:val="Heading2"/>
        <w:spacing w:after="120" w:before="240"/>
      </w:pPr>
      <w:r>
        <w:rPr>
          <w:rFonts w:ascii="Calibri" w:cs="Calibri" w:eastAsia="Calibri" w:hAnsi="Calibri"/>
        </w:rPr>
        <w:t xml:space="preserve">The automation that builds it</w:t>
      </w:r>
    </w:p>
    <w:p>
      <w:pPr>
        <w:spacing w:after="120" w:line="276"/>
      </w:pPr>
      <w:r>
        <w:rPr>
          <w:rFonts w:ascii="Calibri" w:cs="Calibri" w:eastAsia="Calibri" w:hAnsi="Calibri"/>
          <w:i/>
          <w:iCs/>
          <w:color w:val="7A8493"/>
          <w:sz w:val="19"/>
          <w:szCs w:val="19"/>
        </w:rPr>
        <w:t xml:space="preserve">This is the part that makes Intelligrator a product rather than a form. Everything below happens without a human opening Boomi.</w:t>
      </w:r>
    </w:p>
    <w:p>
      <w:pPr>
        <w:pStyle w:val="ListParagraph"/>
        <w:numPr>
          <w:ilvl w:val="0"/>
          <w:numId w:val="2"/>
        </w:numPr>
        <w:spacing w:after="60" w:line="276"/>
      </w:pPr>
      <w:r>
        <w:rPr>
          <w:rFonts w:ascii="Calibri" w:cs="Calibri" w:eastAsia="Calibri" w:hAnsi="Calibri"/>
          <w:color w:val="3D4653"/>
          <w:sz w:val="20"/>
          <w:szCs w:val="20"/>
        </w:rPr>
        <w:t xml:space="preserve">OpenAPI document → API proxy definition → gateway deployment, per environment, from one named policy bundle.</w:t>
      </w:r>
    </w:p>
    <w:p>
      <w:pPr>
        <w:pStyle w:val="ListParagraph"/>
        <w:numPr>
          <w:ilvl w:val="0"/>
          <w:numId w:val="2"/>
        </w:numPr>
        <w:spacing w:after="60" w:line="276"/>
      </w:pPr>
      <w:r>
        <w:rPr>
          <w:rFonts w:ascii="Calibri" w:cs="Calibri" w:eastAsia="Calibri" w:hAnsi="Calibri"/>
          <w:color w:val="3D4653"/>
          <w:sz w:val="20"/>
          <w:szCs w:val="20"/>
        </w:rPr>
        <w:t xml:space="preserve">Mock service generated from the same contract for the sandbox.</w:t>
      </w:r>
    </w:p>
    <w:p>
      <w:pPr>
        <w:pStyle w:val="ListParagraph"/>
        <w:numPr>
          <w:ilvl w:val="0"/>
          <w:numId w:val="2"/>
        </w:numPr>
        <w:spacing w:after="60" w:line="276"/>
      </w:pPr>
      <w:r>
        <w:rPr>
          <w:rFonts w:ascii="Calibri" w:cs="Calibri" w:eastAsia="Calibri" w:hAnsi="Calibri"/>
          <w:color w:val="3D4653"/>
          <w:sz w:val="20"/>
          <w:szCs w:val="20"/>
        </w:rPr>
        <w:t xml:space="preserve">Mashup composition spec (a declarative document, not code) executed by ONE generic orchestration engine — the same discipline as MFT.</w:t>
      </w:r>
    </w:p>
    <w:p>
      <w:pPr>
        <w:pStyle w:val="ListParagraph"/>
        <w:numPr>
          <w:ilvl w:val="0"/>
          <w:numId w:val="2"/>
        </w:numPr>
        <w:spacing w:after="60" w:line="276"/>
      </w:pPr>
      <w:r>
        <w:rPr>
          <w:rFonts w:ascii="Calibri" w:cs="Calibri" w:eastAsia="Calibri" w:hAnsi="Calibri"/>
          <w:color w:val="3D4653"/>
          <w:sz w:val="20"/>
          <w:szCs w:val="20"/>
        </w:rPr>
        <w:t xml:space="preserve">Contract diff on republish: breaking-change detection blocks the deploy.</w:t>
      </w:r>
    </w:p>
    <w:p>
      <w:pPr>
        <w:pStyle w:val="ListParagraph"/>
        <w:numPr>
          <w:ilvl w:val="0"/>
          <w:numId w:val="2"/>
        </w:numPr>
        <w:spacing w:after="60" w:line="276"/>
      </w:pPr>
      <w:r>
        <w:rPr>
          <w:rFonts w:ascii="Calibri" w:cs="Calibri" w:eastAsia="Calibri" w:hAnsi="Calibri"/>
          <w:color w:val="3D4653"/>
          <w:sz w:val="20"/>
          <w:szCs w:val="20"/>
        </w:rPr>
        <w:t xml:space="preserve">Consumer credentials issued into the vault and delivered by one-time reveal.</w:t>
      </w:r>
    </w:p>
    <w:p>
      <w:pPr>
        <w:pStyle w:val="Heading2"/>
        <w:spacing w:after="120" w:before="240"/>
      </w:pPr>
      <w:r>
        <w:rPr>
          <w:rFonts w:ascii="Calibri" w:cs="Calibri" w:eastAsia="Calibri" w:hAnsi="Calibri"/>
        </w:rPr>
        <w:t xml:space="preserve">Exit criteria — how you know it is done</w:t>
      </w:r>
    </w:p>
    <w:p>
      <w:pPr>
        <w:pStyle w:val="ListParagraph"/>
        <w:numPr>
          <w:ilvl w:val="0"/>
          <w:numId w:val="2"/>
        </w:numPr>
        <w:spacing w:after="60" w:line="276"/>
      </w:pPr>
      <w:r>
        <w:rPr>
          <w:rFonts w:ascii="Calibri" w:cs="Calibri" w:eastAsia="Calibri" w:hAnsi="Calibri"/>
          <w:color w:val="3D4653"/>
          <w:sz w:val="20"/>
          <w:szCs w:val="20"/>
        </w:rPr>
        <w:t xml:space="preserve">An OpenAPI file uploaded by a non-developer becomes a live, secured, rate-limited API in the sandbox with no manual Boomi work.</w:t>
      </w:r>
    </w:p>
    <w:p>
      <w:pPr>
        <w:pStyle w:val="ListParagraph"/>
        <w:numPr>
          <w:ilvl w:val="0"/>
          <w:numId w:val="2"/>
        </w:numPr>
        <w:spacing w:after="60" w:line="276"/>
      </w:pPr>
      <w:r>
        <w:rPr>
          <w:rFonts w:ascii="Calibri" w:cs="Calibri" w:eastAsia="Calibri" w:hAnsi="Calibri"/>
          <w:color w:val="3D4653"/>
          <w:sz w:val="20"/>
          <w:szCs w:val="20"/>
        </w:rPr>
        <w:t xml:space="preserve">A mashup of three published APIs is composed, tested and published — and inspection of Boomi shows no new per-mashup process.</w:t>
      </w:r>
    </w:p>
    <w:p>
      <w:pPr>
        <w:pStyle w:val="ListParagraph"/>
        <w:numPr>
          <w:ilvl w:val="0"/>
          <w:numId w:val="2"/>
        </w:numPr>
        <w:spacing w:after="60" w:line="276"/>
      </w:pPr>
      <w:r>
        <w:rPr>
          <w:rFonts w:ascii="Calibri" w:cs="Calibri" w:eastAsia="Calibri" w:hAnsi="Calibri"/>
          <w:color w:val="3D4653"/>
          <w:sz w:val="20"/>
          <w:szCs w:val="20"/>
        </w:rPr>
        <w:t xml:space="preserve">A breaking change to a published contract is detected and blocked before deployment.</w:t>
      </w:r>
    </w:p>
    <w:p>
      <w:pPr>
        <w:pStyle w:val="Heading2"/>
        <w:spacing w:after="120" w:before="240"/>
      </w:pPr>
      <w:r>
        <w:rPr>
          <w:rFonts w:ascii="Calibri" w:cs="Calibri" w:eastAsia="Calibri" w:hAnsi="Calibri"/>
        </w:rPr>
        <w:t xml:space="preserve">Backlog</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900"/>
        <w:gridCol w:w="5300"/>
        <w:gridCol w:w="1560"/>
        <w:gridCol w:w="900"/>
        <w:gridCol w:w="700"/>
      </w:tblGrid>
      <w:tr>
        <w:trPr>
          <w:tblHeader/>
        </w:trPr>
        <w:tc>
          <w:tcPr>
            <w:tcW w:type="dxa" w:w="900"/>
            <w:shd w:fill="7A3DB8"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ID</w:t>
            </w:r>
          </w:p>
        </w:tc>
        <w:tc>
          <w:tcPr>
            <w:tcW w:type="dxa" w:w="5300"/>
            <w:shd w:fill="7A3DB8"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Story</w:t>
            </w:r>
          </w:p>
        </w:tc>
        <w:tc>
          <w:tcPr>
            <w:tcW w:type="dxa" w:w="1560"/>
            <w:shd w:fill="7A3DB8"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Persona</w:t>
            </w:r>
          </w:p>
        </w:tc>
        <w:tc>
          <w:tcPr>
            <w:tcW w:type="dxa" w:w="900"/>
            <w:shd w:fill="7A3DB8"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w:t>
            </w:r>
          </w:p>
        </w:tc>
        <w:tc>
          <w:tcPr>
            <w:tcW w:type="dxa" w:w="700"/>
            <w:shd w:fill="7A3DB8"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Pts</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REQ-02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Guided pattern selection with anti-pattern detection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Capture API identity, ownership and consumer intent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Provide the contract first — OpenAPI or AsyncAPI</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Declare the interaction style with NFR-driven justification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Define the authentication and authorisation model</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API-05</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Declare traffic profile, rate limits and service levels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API-06</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Select environment, routing and gateway policy set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API-07</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Review and submit the API request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API-08</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Build and deploy my API automatically from the uploaded contract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13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API-09</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Test my API in a sandbox before I submit it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API-10</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Compose a mashup of published APIs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13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API-11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Map and shape the composite response</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API-12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Version, deprecate and retire a published API</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API-13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Discover and subscribe to a published API as a consumer</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bl>
    <w:p>
      <w:r>
        <w:br w:type="page"/>
      </w:r>
    </w:p>
    <w:p>
      <w:pPr>
        <w:pStyle w:val="Heading1"/>
        <w:spacing w:after="120" w:before="240"/>
      </w:pPr>
      <w:r>
        <w:rPr>
          <w:rFonts w:ascii="Calibri" w:cs="Calibri" w:eastAsia="Calibri" w:hAnsi="Calibri"/>
        </w:rPr>
        <w:t xml:space="preserve">8. P3 — Enterprise Identity, Governance &amp; Scale</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1100"/>
        <w:gridCol w:w="1900"/>
        <w:gridCol w:w="1000"/>
        <w:gridCol w:w="2360"/>
        <w:gridCol w:w="1000"/>
        <w:gridCol w:w="2000"/>
      </w:tblGrid>
      <w:tr>
        <w:tc>
          <w:tcPr>
            <w:tcW w:type="dxa" w:w="11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Timing</w:t>
            </w:r>
          </w:p>
        </w:tc>
        <w:tc>
          <w:tcPr>
            <w:tcW w:type="dxa" w:w="19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29–38</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Theme</w:t>
            </w:r>
          </w:p>
        </w:tc>
        <w:tc>
          <w:tcPr>
            <w:tcW w:type="dxa" w:w="2360"/>
            <w:tcMar>
              <w:top w:type="dxa" w:w="80"/>
              <w:left w:type="dxa" w:w="110"/>
              <w:bottom w:type="dxa" w:w="80"/>
              <w:right w:type="dxa" w:w="110"/>
            </w:tcMar>
          </w:tcPr>
          <w:p>
            <w:pPr>
              <w:spacing w:after="0"/>
            </w:pPr>
            <w:r>
              <w:rPr>
                <w:rFonts w:ascii="Calibri" w:cs="Calibri" w:eastAsia="Calibri" w:hAnsi="Calibri"/>
                <w:color w:val="3D4653"/>
                <w:sz w:val="19"/>
                <w:szCs w:val="19"/>
              </w:rPr>
              <w:t xml:space="preserve">Production-grade</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Stories</w:t>
            </w:r>
          </w:p>
        </w:tc>
        <w:tc>
          <w:tcPr>
            <w:tcW w:type="dxa" w:w="2000"/>
            <w:tcMar>
              <w:top w:type="dxa" w:w="80"/>
              <w:left w:type="dxa" w:w="110"/>
              <w:bottom w:type="dxa" w:w="80"/>
              <w:right w:type="dxa" w:w="110"/>
            </w:tcMar>
          </w:tcPr>
          <w:p>
            <w:pPr>
              <w:spacing w:after="0"/>
            </w:pPr>
            <w:r>
              <w:rPr>
                <w:rFonts w:ascii="Calibri" w:cs="Calibri" w:eastAsia="Calibri" w:hAnsi="Calibri"/>
                <w:color w:val="3D4653"/>
                <w:sz w:val="19"/>
                <w:szCs w:val="19"/>
              </w:rPr>
              <w:t xml:space="preserve">9  (44 pts)</w:t>
            </w:r>
          </w:p>
        </w:tc>
      </w:tr>
    </w:tbl>
    <w:p>
      <w:pPr>
        <w:pBdr>
          <w:left w:val="single" w:color="0F7A5A" w:sz="12" w:space="8"/>
        </w:pBdr>
        <w:spacing w:after="140" w:before="160"/>
        <w:ind w:left="220"/>
      </w:pPr>
      <w:r>
        <w:rPr>
          <w:rFonts w:ascii="Calibri" w:cs="Calibri" w:eastAsia="Calibri" w:hAnsi="Calibri"/>
          <w:b/>
          <w:bCs/>
          <w:color w:val="0F1723"/>
          <w:sz w:val="21"/>
          <w:szCs w:val="21"/>
        </w:rPr>
        <w:t xml:space="preserve">Goal.  </w:t>
      </w:r>
      <w:r>
        <w:rPr>
          <w:rFonts w:ascii="Calibri" w:cs="Calibri" w:eastAsia="Calibri" w:hAnsi="Calibri"/>
          <w:i/>
          <w:iCs/>
          <w:color w:val="1C2430"/>
          <w:sz w:val="21"/>
          <w:szCs w:val="21"/>
        </w:rPr>
        <w:t xml:space="preserve">Replace the MVP's local login with enterprise SSO, add the controls an auditor will actually test, and take the service to production at scale.</w:t>
      </w:r>
    </w:p>
    <w:p>
      <w:pPr>
        <w:pStyle w:val="Heading2"/>
        <w:spacing w:after="120" w:before="240"/>
      </w:pPr>
      <w:r>
        <w:rPr>
          <w:rFonts w:ascii="Calibri" w:cs="Calibri" w:eastAsia="Calibri" w:hAnsi="Calibri"/>
        </w:rPr>
        <w:t xml:space="preserve">In scope</w:t>
      </w:r>
    </w:p>
    <w:p>
      <w:pPr>
        <w:pStyle w:val="ListParagraph"/>
        <w:numPr>
          <w:ilvl w:val="0"/>
          <w:numId w:val="2"/>
        </w:numPr>
        <w:spacing w:after="60" w:line="276"/>
      </w:pPr>
      <w:r>
        <w:rPr>
          <w:rFonts w:ascii="Calibri" w:cs="Calibri" w:eastAsia="Calibri" w:hAnsi="Calibri"/>
          <w:color w:val="3D4653"/>
          <w:sz w:val="20"/>
          <w:szCs w:val="20"/>
        </w:rPr>
        <w:t xml:space="preserve">Enterprise SSO (OIDC/SAML) via the pluggable auth layer built in Phase 0. Local accounts migrated and retired.</w:t>
      </w:r>
    </w:p>
    <w:p>
      <w:pPr>
        <w:pStyle w:val="ListParagraph"/>
        <w:numPr>
          <w:ilvl w:val="0"/>
          <w:numId w:val="2"/>
        </w:numPr>
        <w:spacing w:after="60" w:line="276"/>
      </w:pPr>
      <w:r>
        <w:rPr>
          <w:rFonts w:ascii="Calibri" w:cs="Calibri" w:eastAsia="Calibri" w:hAnsi="Calibri"/>
          <w:color w:val="3D4653"/>
          <w:sz w:val="20"/>
          <w:szCs w:val="20"/>
        </w:rPr>
        <w:t xml:space="preserve">Step-up multi-factor authentication at the moment of decision — not merely at sign-in.</w:t>
      </w:r>
    </w:p>
    <w:p>
      <w:pPr>
        <w:pStyle w:val="ListParagraph"/>
        <w:numPr>
          <w:ilvl w:val="0"/>
          <w:numId w:val="2"/>
        </w:numPr>
        <w:spacing w:after="60" w:line="276"/>
      </w:pPr>
      <w:r>
        <w:rPr>
          <w:rFonts w:ascii="Calibri" w:cs="Calibri" w:eastAsia="Calibri" w:hAnsi="Calibri"/>
          <w:color w:val="3D4653"/>
          <w:sz w:val="20"/>
          <w:szCs w:val="20"/>
        </w:rPr>
        <w:t xml:space="preserve">The full automated pre-check engine: credential strength and expiry, classification-versus-protocol compatibility, capacity thresholds, IP allow-list validity, contract lint, anti-pattern flags.</w:t>
      </w:r>
    </w:p>
    <w:p>
      <w:pPr>
        <w:pStyle w:val="ListParagraph"/>
        <w:numPr>
          <w:ilvl w:val="0"/>
          <w:numId w:val="2"/>
        </w:numPr>
        <w:spacing w:after="60" w:line="276"/>
      </w:pPr>
      <w:r>
        <w:rPr>
          <w:rFonts w:ascii="Calibri" w:cs="Calibri" w:eastAsia="Calibri" w:hAnsi="Calibri"/>
          <w:color w:val="3D4653"/>
          <w:sz w:val="20"/>
          <w:szCs w:val="20"/>
        </w:rPr>
        <w:t xml:space="preserve">Conditional approval with tracked conditions, delegation and reassignment, fast-path batch approval for low-risk non-production requests.</w:t>
      </w:r>
    </w:p>
    <w:p>
      <w:pPr>
        <w:pStyle w:val="ListParagraph"/>
        <w:numPr>
          <w:ilvl w:val="0"/>
          <w:numId w:val="2"/>
        </w:numPr>
        <w:spacing w:after="60" w:line="276"/>
      </w:pPr>
      <w:r>
        <w:rPr>
          <w:rFonts w:ascii="Calibri" w:cs="Calibri" w:eastAsia="Calibri" w:hAnsi="Calibri"/>
          <w:color w:val="3D4653"/>
          <w:sz w:val="20"/>
          <w:szCs w:val="20"/>
        </w:rPr>
        <w:t xml:space="preserve">Reporting: throughput, time-to-decision against SLA, rejection reason codes ranked by frequency.</w:t>
      </w:r>
    </w:p>
    <w:p>
      <w:pPr>
        <w:pStyle w:val="ListParagraph"/>
        <w:numPr>
          <w:ilvl w:val="0"/>
          <w:numId w:val="2"/>
        </w:numPr>
        <w:spacing w:after="60" w:line="276"/>
      </w:pPr>
      <w:r>
        <w:rPr>
          <w:rFonts w:ascii="Calibri" w:cs="Calibri" w:eastAsia="Calibri" w:hAnsi="Calibri"/>
          <w:color w:val="3D4653"/>
          <w:sz w:val="20"/>
          <w:szCs w:val="20"/>
        </w:rPr>
        <w:t xml:space="preserve">Accessibility to WCAG 2.2 AA. Performance and availability against the agreed SLO.</w:t>
      </w:r>
    </w:p>
    <w:p>
      <w:pPr>
        <w:pStyle w:val="Heading2"/>
        <w:spacing w:after="120" w:before="240"/>
      </w:pPr>
      <w:r>
        <w:rPr>
          <w:rFonts w:ascii="Calibri" w:cs="Calibri" w:eastAsia="Calibri" w:hAnsi="Calibri"/>
        </w:rPr>
        <w:t xml:space="preserve">Explicitly not in this phase</w:t>
      </w:r>
    </w:p>
    <w:p>
      <w:pPr>
        <w:pStyle w:val="ListParagraph"/>
        <w:numPr>
          <w:ilvl w:val="0"/>
          <w:numId w:val="2"/>
        </w:numPr>
        <w:spacing w:after="60" w:line="276"/>
      </w:pPr>
      <w:r>
        <w:rPr>
          <w:rFonts w:ascii="Calibri" w:cs="Calibri" w:eastAsia="Calibri" w:hAnsi="Calibri"/>
          <w:color w:val="3D4653"/>
          <w:sz w:val="20"/>
          <w:szCs w:val="20"/>
        </w:rPr>
        <w:t xml:space="preserve">Event-driven onboarding — Phase 4.</w:t>
      </w:r>
    </w:p>
    <w:p>
      <w:pPr>
        <w:pStyle w:val="Heading2"/>
        <w:spacing w:after="120" w:before="240"/>
      </w:pPr>
      <w:r>
        <w:rPr>
          <w:rFonts w:ascii="Calibri" w:cs="Calibri" w:eastAsia="Calibri" w:hAnsi="Calibri"/>
        </w:rPr>
        <w:t xml:space="preserve">The automation that builds it</w:t>
      </w:r>
    </w:p>
    <w:p>
      <w:pPr>
        <w:spacing w:after="120" w:line="276"/>
      </w:pPr>
      <w:r>
        <w:rPr>
          <w:rFonts w:ascii="Calibri" w:cs="Calibri" w:eastAsia="Calibri" w:hAnsi="Calibri"/>
          <w:i/>
          <w:iCs/>
          <w:color w:val="7A8493"/>
          <w:sz w:val="19"/>
          <w:szCs w:val="19"/>
        </w:rPr>
        <w:t xml:space="preserve">This is the part that makes Intelligrator a product rather than a form. Everything below happens without a human opening Boomi.</w:t>
      </w:r>
    </w:p>
    <w:p>
      <w:pPr>
        <w:pStyle w:val="ListParagraph"/>
        <w:numPr>
          <w:ilvl w:val="0"/>
          <w:numId w:val="2"/>
        </w:numPr>
        <w:spacing w:after="60" w:line="276"/>
      </w:pPr>
      <w:r>
        <w:rPr>
          <w:rFonts w:ascii="Calibri" w:cs="Calibri" w:eastAsia="Calibri" w:hAnsi="Calibri"/>
          <w:color w:val="3D4653"/>
          <w:sz w:val="20"/>
          <w:szCs w:val="20"/>
        </w:rPr>
        <w:t xml:space="preserve">Automated migration of local accounts to SSO identities with no re-registration.</w:t>
      </w:r>
    </w:p>
    <w:p>
      <w:pPr>
        <w:pStyle w:val="ListParagraph"/>
        <w:numPr>
          <w:ilvl w:val="0"/>
          <w:numId w:val="2"/>
        </w:numPr>
        <w:spacing w:after="60" w:line="276"/>
      </w:pPr>
      <w:r>
        <w:rPr>
          <w:rFonts w:ascii="Calibri" w:cs="Calibri" w:eastAsia="Calibri" w:hAnsi="Calibri"/>
          <w:color w:val="3D4653"/>
          <w:sz w:val="20"/>
          <w:szCs w:val="20"/>
        </w:rPr>
        <w:t xml:space="preserve">Pre-check engine runs on submission; the approver sees a pass/warn/fail panel before they open the request.</w:t>
      </w:r>
    </w:p>
    <w:p>
      <w:pPr>
        <w:pStyle w:val="ListParagraph"/>
        <w:numPr>
          <w:ilvl w:val="0"/>
          <w:numId w:val="2"/>
        </w:numPr>
        <w:spacing w:after="60" w:line="276"/>
      </w:pPr>
      <w:r>
        <w:rPr>
          <w:rFonts w:ascii="Calibri" w:cs="Calibri" w:eastAsia="Calibri" w:hAnsi="Calibri"/>
          <w:color w:val="3D4653"/>
          <w:sz w:val="20"/>
          <w:szCs w:val="20"/>
        </w:rPr>
        <w:t xml:space="preserve">Condition-monitoring job escalates a conditional approval whose condition passes its due date unmet.</w:t>
      </w:r>
    </w:p>
    <w:p>
      <w:pPr>
        <w:pStyle w:val="Heading2"/>
        <w:spacing w:after="120" w:before="240"/>
      </w:pPr>
      <w:r>
        <w:rPr>
          <w:rFonts w:ascii="Calibri" w:cs="Calibri" w:eastAsia="Calibri" w:hAnsi="Calibri"/>
        </w:rPr>
        <w:t xml:space="preserve">Exit criteria — how you know it is done</w:t>
      </w:r>
    </w:p>
    <w:p>
      <w:pPr>
        <w:pStyle w:val="ListParagraph"/>
        <w:numPr>
          <w:ilvl w:val="0"/>
          <w:numId w:val="2"/>
        </w:numPr>
        <w:spacing w:after="60" w:line="276"/>
      </w:pPr>
      <w:r>
        <w:rPr>
          <w:rFonts w:ascii="Calibri" w:cs="Calibri" w:eastAsia="Calibri" w:hAnsi="Calibri"/>
          <w:color w:val="3D4653"/>
          <w:sz w:val="20"/>
          <w:szCs w:val="20"/>
        </w:rPr>
        <w:t xml:space="preserve">Local username-and-password authentication is switched off entirely.</w:t>
      </w:r>
    </w:p>
    <w:p>
      <w:pPr>
        <w:pStyle w:val="ListParagraph"/>
        <w:numPr>
          <w:ilvl w:val="0"/>
          <w:numId w:val="2"/>
        </w:numPr>
        <w:spacing w:after="60" w:line="276"/>
      </w:pPr>
      <w:r>
        <w:rPr>
          <w:rFonts w:ascii="Calibri" w:cs="Calibri" w:eastAsia="Calibri" w:hAnsi="Calibri"/>
          <w:color w:val="3D4653"/>
          <w:sz w:val="20"/>
          <w:szCs w:val="20"/>
        </w:rPr>
        <w:t xml:space="preserve">An auditor can be shown, for any live interface, who approved it, when, on what basis, and the state of every pre-check at that moment.</w:t>
      </w:r>
    </w:p>
    <w:p>
      <w:pPr>
        <w:pStyle w:val="ListParagraph"/>
        <w:numPr>
          <w:ilvl w:val="0"/>
          <w:numId w:val="2"/>
        </w:numPr>
        <w:spacing w:after="60" w:line="276"/>
      </w:pPr>
      <w:r>
        <w:rPr>
          <w:rFonts w:ascii="Calibri" w:cs="Calibri" w:eastAsia="Calibri" w:hAnsi="Calibri"/>
          <w:color w:val="3D4653"/>
          <w:sz w:val="20"/>
          <w:szCs w:val="20"/>
        </w:rPr>
        <w:t xml:space="preserve">The service passes an independent WCAG 2.2 AA assessment.</w:t>
      </w:r>
    </w:p>
    <w:p>
      <w:pPr>
        <w:pStyle w:val="Heading2"/>
        <w:spacing w:after="120" w:before="240"/>
      </w:pPr>
      <w:r>
        <w:rPr>
          <w:rFonts w:ascii="Calibri" w:cs="Calibri" w:eastAsia="Calibri" w:hAnsi="Calibri"/>
        </w:rPr>
        <w:t xml:space="preserve">Backlog</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900"/>
        <w:gridCol w:w="5300"/>
        <w:gridCol w:w="1560"/>
        <w:gridCol w:w="900"/>
        <w:gridCol w:w="700"/>
      </w:tblGrid>
      <w:tr>
        <w:trPr>
          <w:tblHeader/>
        </w:trPr>
        <w:tc>
          <w:tcPr>
            <w:tcW w:type="dxa" w:w="900"/>
            <w:shd w:fill="0F7A5A"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ID</w:t>
            </w:r>
          </w:p>
        </w:tc>
        <w:tc>
          <w:tcPr>
            <w:tcW w:type="dxa" w:w="5300"/>
            <w:shd w:fill="0F7A5A"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Story</w:t>
            </w:r>
          </w:p>
        </w:tc>
        <w:tc>
          <w:tcPr>
            <w:tcW w:type="dxa" w:w="1560"/>
            <w:shd w:fill="0F7A5A"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Persona</w:t>
            </w:r>
          </w:p>
        </w:tc>
        <w:tc>
          <w:tcPr>
            <w:tcW w:type="dxa" w:w="900"/>
            <w:shd w:fill="0F7A5A"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w:t>
            </w:r>
          </w:p>
        </w:tc>
        <w:tc>
          <w:tcPr>
            <w:tcW w:type="dxa" w:w="700"/>
            <w:shd w:fill="0F7A5A"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Pts</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ACC-02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Sign in with departmental single sign-on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ADM-01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Sign in as an administrator with step-up authentication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ADM-04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See the automated pre-check results before deciding</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DEC-04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Approve conditionally, with binding conditions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DEC-05</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Reassign or delegate a request to another approver</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DEC-07</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Fast-path approval for low-risk requests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Could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AUD-02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Report on throughput, SLA and rejection reasons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NFR-01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Meet accessibility standards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All</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Must</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NFR-02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Meet performance and availability targets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All</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bl>
    <w:p>
      <w:r>
        <w:br w:type="page"/>
      </w:r>
    </w:p>
    <w:p>
      <w:pPr>
        <w:pStyle w:val="Heading1"/>
        <w:spacing w:after="120" w:before="240"/>
      </w:pPr>
      <w:r>
        <w:rPr>
          <w:rFonts w:ascii="Calibri" w:cs="Calibri" w:eastAsia="Calibri" w:hAnsi="Calibri"/>
        </w:rPr>
        <w:t xml:space="preserve">9. P4 — Event-Driven Onboarding</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1100"/>
        <w:gridCol w:w="1900"/>
        <w:gridCol w:w="1000"/>
        <w:gridCol w:w="2360"/>
        <w:gridCol w:w="1000"/>
        <w:gridCol w:w="2000"/>
      </w:tblGrid>
      <w:tr>
        <w:tc>
          <w:tcPr>
            <w:tcW w:type="dxa" w:w="11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Timing</w:t>
            </w:r>
          </w:p>
        </w:tc>
        <w:tc>
          <w:tcPr>
            <w:tcW w:type="dxa" w:w="19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39–48</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Theme</w:t>
            </w:r>
          </w:p>
        </w:tc>
        <w:tc>
          <w:tcPr>
            <w:tcW w:type="dxa" w:w="2360"/>
            <w:tcMar>
              <w:top w:type="dxa" w:w="80"/>
              <w:left w:type="dxa" w:w="110"/>
              <w:bottom w:type="dxa" w:w="80"/>
              <w:right w:type="dxa" w:w="110"/>
            </w:tcMar>
          </w:tcPr>
          <w:p>
            <w:pPr>
              <w:spacing w:after="0"/>
            </w:pPr>
            <w:r>
              <w:rPr>
                <w:rFonts w:ascii="Calibri" w:cs="Calibri" w:eastAsia="Calibri" w:hAnsi="Calibri"/>
                <w:color w:val="3D4653"/>
                <w:sz w:val="19"/>
                <w:szCs w:val="19"/>
              </w:rPr>
              <w:t xml:space="preserve">The third pattern family</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Stories</w:t>
            </w:r>
          </w:p>
        </w:tc>
        <w:tc>
          <w:tcPr>
            <w:tcW w:type="dxa" w:w="2000"/>
            <w:tcMar>
              <w:top w:type="dxa" w:w="80"/>
              <w:left w:type="dxa" w:w="110"/>
              <w:bottom w:type="dxa" w:w="80"/>
              <w:right w:type="dxa" w:w="110"/>
            </w:tcMar>
          </w:tcPr>
          <w:p>
            <w:pPr>
              <w:spacing w:after="0"/>
            </w:pPr>
            <w:r>
              <w:rPr>
                <w:rFonts w:ascii="Calibri" w:cs="Calibri" w:eastAsia="Calibri" w:hAnsi="Calibri"/>
                <w:color w:val="3D4653"/>
                <w:sz w:val="19"/>
                <w:szCs w:val="19"/>
              </w:rPr>
              <w:t xml:space="preserve">4  (34 pts)</w:t>
            </w:r>
          </w:p>
        </w:tc>
      </w:tr>
    </w:tbl>
    <w:p>
      <w:pPr>
        <w:pBdr>
          <w:left w:val="single" w:color="B5761B" w:sz="12" w:space="8"/>
        </w:pBdr>
        <w:spacing w:after="140" w:before="160"/>
        <w:ind w:left="220"/>
      </w:pPr>
      <w:r>
        <w:rPr>
          <w:rFonts w:ascii="Calibri" w:cs="Calibri" w:eastAsia="Calibri" w:hAnsi="Calibri"/>
          <w:b/>
          <w:bCs/>
          <w:color w:val="0F1723"/>
          <w:sz w:val="21"/>
          <w:szCs w:val="21"/>
        </w:rPr>
        <w:t xml:space="preserve">Goal.  </w:t>
      </w:r>
      <w:r>
        <w:rPr>
          <w:rFonts w:ascii="Calibri" w:cs="Calibri" w:eastAsia="Calibri" w:hAnsi="Calibri"/>
          <w:i/>
          <w:iCs/>
          <w:color w:val="1C2430"/>
          <w:sz w:val="21"/>
          <w:szCs w:val="21"/>
        </w:rPr>
        <w:t xml:space="preserve">Extend the same front door to event streaming: AsyncAPI contracts, a browsable event catalogue, and a schema registry that refuses an incompatible change.</w:t>
      </w:r>
    </w:p>
    <w:p>
      <w:pPr>
        <w:pStyle w:val="Heading2"/>
        <w:spacing w:after="120" w:before="240"/>
      </w:pPr>
      <w:r>
        <w:rPr>
          <w:rFonts w:ascii="Calibri" w:cs="Calibri" w:eastAsia="Calibri" w:hAnsi="Calibri"/>
        </w:rPr>
        <w:t xml:space="preserve">In scope</w:t>
      </w:r>
    </w:p>
    <w:p>
      <w:pPr>
        <w:pStyle w:val="ListParagraph"/>
        <w:numPr>
          <w:ilvl w:val="0"/>
          <w:numId w:val="2"/>
        </w:numPr>
        <w:spacing w:after="60" w:line="276"/>
      </w:pPr>
      <w:r>
        <w:rPr>
          <w:rFonts w:ascii="Calibri" w:cs="Calibri" w:eastAsia="Calibri" w:hAnsi="Calibri"/>
          <w:color w:val="3D4653"/>
          <w:sz w:val="20"/>
          <w:szCs w:val="20"/>
        </w:rPr>
        <w:t xml:space="preserve">AsyncAPI contract upload, linting and publication.</w:t>
      </w:r>
    </w:p>
    <w:p>
      <w:pPr>
        <w:pStyle w:val="ListParagraph"/>
        <w:numPr>
          <w:ilvl w:val="0"/>
          <w:numId w:val="2"/>
        </w:numPr>
        <w:spacing w:after="60" w:line="276"/>
      </w:pPr>
      <w:r>
        <w:rPr>
          <w:rFonts w:ascii="Calibri" w:cs="Calibri" w:eastAsia="Calibri" w:hAnsi="Calibri"/>
          <w:color w:val="3D4653"/>
          <w:sz w:val="20"/>
          <w:szCs w:val="20"/>
        </w:rPr>
        <w:t xml:space="preserve">Publisher onboarding: declare a topic, its event schema and its retention.</w:t>
      </w:r>
    </w:p>
    <w:p>
      <w:pPr>
        <w:pStyle w:val="ListParagraph"/>
        <w:numPr>
          <w:ilvl w:val="0"/>
          <w:numId w:val="2"/>
        </w:numPr>
        <w:spacing w:after="60" w:line="276"/>
      </w:pPr>
      <w:r>
        <w:rPr>
          <w:rFonts w:ascii="Calibri" w:cs="Calibri" w:eastAsia="Calibri" w:hAnsi="Calibri"/>
          <w:color w:val="3D4653"/>
          <w:sz w:val="20"/>
          <w:szCs w:val="20"/>
        </w:rPr>
        <w:t xml:space="preserve">Subscriber onboarding: browse the event catalogue, subscribe to a topic, receive credentials.</w:t>
      </w:r>
    </w:p>
    <w:p>
      <w:pPr>
        <w:pStyle w:val="ListParagraph"/>
        <w:numPr>
          <w:ilvl w:val="0"/>
          <w:numId w:val="2"/>
        </w:numPr>
        <w:spacing w:after="60" w:line="276"/>
      </w:pPr>
      <w:r>
        <w:rPr>
          <w:rFonts w:ascii="Calibri" w:cs="Calibri" w:eastAsia="Calibri" w:hAnsi="Calibri"/>
          <w:color w:val="3D4653"/>
          <w:sz w:val="20"/>
          <w:szCs w:val="20"/>
        </w:rPr>
        <w:t xml:space="preserve">Schema registry with forward and backward compatibility enforcement.</w:t>
      </w:r>
    </w:p>
    <w:p>
      <w:pPr>
        <w:pStyle w:val="Heading2"/>
        <w:spacing w:after="120" w:before="240"/>
      </w:pPr>
      <w:r>
        <w:rPr>
          <w:rFonts w:ascii="Calibri" w:cs="Calibri" w:eastAsia="Calibri" w:hAnsi="Calibri"/>
        </w:rPr>
        <w:t xml:space="preserve">Explicitly not in this phase</w:t>
      </w:r>
    </w:p>
    <w:p>
      <w:pPr>
        <w:pStyle w:val="ListParagraph"/>
        <w:numPr>
          <w:ilvl w:val="0"/>
          <w:numId w:val="2"/>
        </w:numPr>
        <w:spacing w:after="60" w:line="276"/>
      </w:pPr>
      <w:r>
        <w:rPr>
          <w:rFonts w:ascii="Calibri" w:cs="Calibri" w:eastAsia="Calibri" w:hAnsi="Calibri"/>
          <w:color w:val="3D4653"/>
          <w:sz w:val="20"/>
          <w:szCs w:val="20"/>
        </w:rPr>
        <w:t xml:space="preserve">Stream processing / transformation logic — that remains a build activity, not a self-service one.</w:t>
      </w:r>
    </w:p>
    <w:p>
      <w:pPr>
        <w:pStyle w:val="Heading2"/>
        <w:spacing w:after="120" w:before="240"/>
      </w:pPr>
      <w:r>
        <w:rPr>
          <w:rFonts w:ascii="Calibri" w:cs="Calibri" w:eastAsia="Calibri" w:hAnsi="Calibri"/>
        </w:rPr>
        <w:t xml:space="preserve">The automation that builds it</w:t>
      </w:r>
    </w:p>
    <w:p>
      <w:pPr>
        <w:spacing w:after="120" w:line="276"/>
      </w:pPr>
      <w:r>
        <w:rPr>
          <w:rFonts w:ascii="Calibri" w:cs="Calibri" w:eastAsia="Calibri" w:hAnsi="Calibri"/>
          <w:i/>
          <w:iCs/>
          <w:color w:val="7A8493"/>
          <w:sz w:val="19"/>
          <w:szCs w:val="19"/>
        </w:rPr>
        <w:t xml:space="preserve">This is the part that makes Intelligrator a product rather than a form. Everything below happens without a human opening Boomi.</w:t>
      </w:r>
    </w:p>
    <w:p>
      <w:pPr>
        <w:pStyle w:val="ListParagraph"/>
        <w:numPr>
          <w:ilvl w:val="0"/>
          <w:numId w:val="2"/>
        </w:numPr>
        <w:spacing w:after="60" w:line="276"/>
      </w:pPr>
      <w:r>
        <w:rPr>
          <w:rFonts w:ascii="Calibri" w:cs="Calibri" w:eastAsia="Calibri" w:hAnsi="Calibri"/>
          <w:color w:val="3D4653"/>
          <w:sz w:val="20"/>
          <w:szCs w:val="20"/>
        </w:rPr>
        <w:t xml:space="preserve">Topic, ACL and consumer group provisioned from the approved request as configuration.</w:t>
      </w:r>
    </w:p>
    <w:p>
      <w:pPr>
        <w:pStyle w:val="ListParagraph"/>
        <w:numPr>
          <w:ilvl w:val="0"/>
          <w:numId w:val="2"/>
        </w:numPr>
        <w:spacing w:after="60" w:line="276"/>
      </w:pPr>
      <w:r>
        <w:rPr>
          <w:rFonts w:ascii="Calibri" w:cs="Calibri" w:eastAsia="Calibri" w:hAnsi="Calibri"/>
          <w:color w:val="3D4653"/>
          <w:sz w:val="20"/>
          <w:szCs w:val="20"/>
        </w:rPr>
        <w:t xml:space="preserve">Schema registered and compatibility-checked automatically; an incompatible change is rejected at submission, not at runtime.</w:t>
      </w:r>
    </w:p>
    <w:p>
      <w:pPr>
        <w:pStyle w:val="Heading2"/>
        <w:spacing w:after="120" w:before="240"/>
      </w:pPr>
      <w:r>
        <w:rPr>
          <w:rFonts w:ascii="Calibri" w:cs="Calibri" w:eastAsia="Calibri" w:hAnsi="Calibri"/>
        </w:rPr>
        <w:t xml:space="preserve">Exit criteria — how you know it is done</w:t>
      </w:r>
    </w:p>
    <w:p>
      <w:pPr>
        <w:pStyle w:val="ListParagraph"/>
        <w:numPr>
          <w:ilvl w:val="0"/>
          <w:numId w:val="2"/>
        </w:numPr>
        <w:spacing w:after="60" w:line="276"/>
      </w:pPr>
      <w:r>
        <w:rPr>
          <w:rFonts w:ascii="Calibri" w:cs="Calibri" w:eastAsia="Calibri" w:hAnsi="Calibri"/>
          <w:color w:val="3D4653"/>
          <w:sz w:val="20"/>
          <w:szCs w:val="20"/>
        </w:rPr>
        <w:t xml:space="preserve">A publisher and a subscriber are onboarded to a new topic entirely through the portal.</w:t>
      </w:r>
    </w:p>
    <w:p>
      <w:pPr>
        <w:pStyle w:val="ListParagraph"/>
        <w:numPr>
          <w:ilvl w:val="0"/>
          <w:numId w:val="2"/>
        </w:numPr>
        <w:spacing w:after="60" w:line="276"/>
      </w:pPr>
      <w:r>
        <w:rPr>
          <w:rFonts w:ascii="Calibri" w:cs="Calibri" w:eastAsia="Calibri" w:hAnsi="Calibri"/>
          <w:color w:val="3D4653"/>
          <w:sz w:val="20"/>
          <w:szCs w:val="20"/>
        </w:rPr>
        <w:t xml:space="preserve">An incompatible schema change is rejected before it can reach an environment.</w:t>
      </w:r>
    </w:p>
    <w:p>
      <w:pPr>
        <w:pStyle w:val="Heading2"/>
        <w:spacing w:after="120" w:before="240"/>
      </w:pPr>
      <w:r>
        <w:rPr>
          <w:rFonts w:ascii="Calibri" w:cs="Calibri" w:eastAsia="Calibri" w:hAnsi="Calibri"/>
        </w:rPr>
        <w:t xml:space="preserve">Backlog</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900"/>
        <w:gridCol w:w="5300"/>
        <w:gridCol w:w="1560"/>
        <w:gridCol w:w="900"/>
        <w:gridCol w:w="700"/>
      </w:tblGrid>
      <w:tr>
        <w:trPr>
          <w:tblHeader/>
        </w:trPr>
        <w:tc>
          <w:tcPr>
            <w:tcW w:type="dxa" w:w="900"/>
            <w:shd w:fill="B5761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ID</w:t>
            </w:r>
          </w:p>
        </w:tc>
        <w:tc>
          <w:tcPr>
            <w:tcW w:type="dxa" w:w="5300"/>
            <w:shd w:fill="B5761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Story</w:t>
            </w:r>
          </w:p>
        </w:tc>
        <w:tc>
          <w:tcPr>
            <w:tcW w:type="dxa" w:w="1560"/>
            <w:shd w:fill="B5761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Persona</w:t>
            </w:r>
          </w:p>
        </w:tc>
        <w:tc>
          <w:tcPr>
            <w:tcW w:type="dxa" w:w="900"/>
            <w:shd w:fill="B5761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w:t>
            </w:r>
          </w:p>
        </w:tc>
        <w:tc>
          <w:tcPr>
            <w:tcW w:type="dxa" w:w="700"/>
            <w:shd w:fill="B5761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Pts</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EVT-01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Onboard an event-driven interface with an AsyncAPI contract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13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EVT-02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Browse the event catalogue</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EVT-03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Enforce schema compatibility through a registry</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Platform Engineer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EVT-04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Approve event interfaces with event-specific pre-checks</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Could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bl>
    <w:p>
      <w:r>
        <w:br w:type="page"/>
      </w:r>
    </w:p>
    <w:p>
      <w:pPr>
        <w:pStyle w:val="Heading1"/>
        <w:spacing w:after="120" w:before="240"/>
      </w:pPr>
      <w:r>
        <w:rPr>
          <w:rFonts w:ascii="Calibri" w:cs="Calibri" w:eastAsia="Calibri" w:hAnsi="Calibri"/>
        </w:rPr>
        <w:t xml:space="preserve">10. P5 — Optimise, Automate &amp; Retire</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1100"/>
        <w:gridCol w:w="1900"/>
        <w:gridCol w:w="1000"/>
        <w:gridCol w:w="2360"/>
        <w:gridCol w:w="1000"/>
        <w:gridCol w:w="2000"/>
      </w:tblGrid>
      <w:tr>
        <w:tc>
          <w:tcPr>
            <w:tcW w:type="dxa" w:w="11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Timing</w:t>
            </w:r>
          </w:p>
        </w:tc>
        <w:tc>
          <w:tcPr>
            <w:tcW w:type="dxa" w:w="1900"/>
            <w:tcMar>
              <w:top w:type="dxa" w:w="80"/>
              <w:left w:type="dxa" w:w="110"/>
              <w:bottom w:type="dxa" w:w="80"/>
              <w:right w:type="dxa" w:w="110"/>
            </w:tcMar>
          </w:tcPr>
          <w:p>
            <w:pPr>
              <w:spacing w:after="0"/>
            </w:pPr>
            <w:r>
              <w:rPr>
                <w:rFonts w:ascii="Calibri" w:cs="Calibri" w:eastAsia="Calibri" w:hAnsi="Calibri"/>
                <w:color w:val="3D4653"/>
                <w:sz w:val="19"/>
                <w:szCs w:val="19"/>
              </w:rPr>
              <w:t xml:space="preserve">Weeks 49–60</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Theme</w:t>
            </w:r>
          </w:p>
        </w:tc>
        <w:tc>
          <w:tcPr>
            <w:tcW w:type="dxa" w:w="2360"/>
            <w:tcMar>
              <w:top w:type="dxa" w:w="80"/>
              <w:left w:type="dxa" w:w="110"/>
              <w:bottom w:type="dxa" w:w="80"/>
              <w:right w:type="dxa" w:w="110"/>
            </w:tcMar>
          </w:tcPr>
          <w:p>
            <w:pPr>
              <w:spacing w:after="0"/>
            </w:pPr>
            <w:r>
              <w:rPr>
                <w:rFonts w:ascii="Calibri" w:cs="Calibri" w:eastAsia="Calibri" w:hAnsi="Calibri"/>
                <w:color w:val="3D4653"/>
                <w:sz w:val="19"/>
                <w:szCs w:val="19"/>
              </w:rPr>
              <w:t xml:space="preserve">Retire the legacy tail</w:t>
            </w:r>
          </w:p>
        </w:tc>
        <w:tc>
          <w:tcPr>
            <w:tcW w:type="dxa" w:w="1000"/>
            <w:shd w:fill="EEF2F7" w:color="auto" w:val="clear"/>
            <w:tcMar>
              <w:top w:type="dxa" w:w="80"/>
              <w:left w:type="dxa" w:w="110"/>
              <w:bottom w:type="dxa" w:w="80"/>
              <w:right w:type="dxa" w:w="110"/>
            </w:tcMar>
          </w:tcPr>
          <w:p>
            <w:pPr>
              <w:spacing w:after="0"/>
            </w:pPr>
            <w:r>
              <w:rPr>
                <w:rFonts w:ascii="Calibri" w:cs="Calibri" w:eastAsia="Calibri" w:hAnsi="Calibri"/>
                <w:b/>
                <w:bCs/>
                <w:color w:val="3D4653"/>
                <w:sz w:val="19"/>
                <w:szCs w:val="19"/>
              </w:rPr>
              <w:t xml:space="preserve">Stories</w:t>
            </w:r>
          </w:p>
        </w:tc>
        <w:tc>
          <w:tcPr>
            <w:tcW w:type="dxa" w:w="2000"/>
            <w:tcMar>
              <w:top w:type="dxa" w:w="80"/>
              <w:left w:type="dxa" w:w="110"/>
              <w:bottom w:type="dxa" w:w="80"/>
              <w:right w:type="dxa" w:w="110"/>
            </w:tcMar>
          </w:tcPr>
          <w:p>
            <w:pPr>
              <w:spacing w:after="0"/>
            </w:pPr>
            <w:r>
              <w:rPr>
                <w:rFonts w:ascii="Calibri" w:cs="Calibri" w:eastAsia="Calibri" w:hAnsi="Calibri"/>
                <w:color w:val="3D4653"/>
                <w:sz w:val="19"/>
                <w:szCs w:val="19"/>
              </w:rPr>
              <w:t xml:space="preserve">6  (45 pts)</w:t>
            </w:r>
          </w:p>
        </w:tc>
      </w:tr>
    </w:tbl>
    <w:p>
      <w:pPr>
        <w:pBdr>
          <w:left w:val="single" w:color="B3261E" w:sz="12" w:space="8"/>
        </w:pBdr>
        <w:spacing w:after="140" w:before="160"/>
        <w:ind w:left="220"/>
      </w:pPr>
      <w:r>
        <w:rPr>
          <w:rFonts w:ascii="Calibri" w:cs="Calibri" w:eastAsia="Calibri" w:hAnsi="Calibri"/>
          <w:b/>
          <w:bCs/>
          <w:color w:val="0F1723"/>
          <w:sz w:val="21"/>
          <w:szCs w:val="21"/>
        </w:rPr>
        <w:t xml:space="preserve">Goal.  </w:t>
      </w:r>
      <w:r>
        <w:rPr>
          <w:rFonts w:ascii="Calibri" w:cs="Calibri" w:eastAsia="Calibri" w:hAnsi="Calibri"/>
          <w:i/>
          <w:iCs/>
          <w:color w:val="1C2430"/>
          <w:sz w:val="21"/>
          <w:szCs w:val="21"/>
        </w:rPr>
        <w:t xml:space="preserve">Make the estate self-maintaining, make its cost visible, and use the portal to industrialise the migration off the legacy integration estate.</w:t>
      </w:r>
    </w:p>
    <w:p>
      <w:pPr>
        <w:pStyle w:val="Heading2"/>
        <w:spacing w:after="120" w:before="240"/>
      </w:pPr>
      <w:r>
        <w:rPr>
          <w:rFonts w:ascii="Calibri" w:cs="Calibri" w:eastAsia="Calibri" w:hAnsi="Calibri"/>
        </w:rPr>
        <w:t xml:space="preserve">In scope</w:t>
      </w:r>
    </w:p>
    <w:p>
      <w:pPr>
        <w:pStyle w:val="ListParagraph"/>
        <w:numPr>
          <w:ilvl w:val="0"/>
          <w:numId w:val="2"/>
        </w:numPr>
        <w:spacing w:after="60" w:line="276"/>
      </w:pPr>
      <w:r>
        <w:rPr>
          <w:rFonts w:ascii="Calibri" w:cs="Calibri" w:eastAsia="Calibri" w:hAnsi="Calibri"/>
          <w:color w:val="3D4653"/>
          <w:sz w:val="20"/>
          <w:szCs w:val="20"/>
        </w:rPr>
        <w:t xml:space="preserve">Interface health and usage dashboards for owners — not just for the platform team.</w:t>
      </w:r>
    </w:p>
    <w:p>
      <w:pPr>
        <w:pStyle w:val="ListParagraph"/>
        <w:numPr>
          <w:ilvl w:val="0"/>
          <w:numId w:val="2"/>
        </w:numPr>
        <w:spacing w:after="60" w:line="276"/>
      </w:pPr>
      <w:r>
        <w:rPr>
          <w:rFonts w:ascii="Calibri" w:cs="Calibri" w:eastAsia="Calibri" w:hAnsi="Calibri"/>
          <w:color w:val="3D4653"/>
          <w:sz w:val="20"/>
          <w:szCs w:val="20"/>
        </w:rPr>
        <w:t xml:space="preserve">Cost transparency and chargeback by service line, so that volume has an owner.</w:t>
      </w:r>
    </w:p>
    <w:p>
      <w:pPr>
        <w:pStyle w:val="ListParagraph"/>
        <w:numPr>
          <w:ilvl w:val="0"/>
          <w:numId w:val="2"/>
        </w:numPr>
        <w:spacing w:after="60" w:line="276"/>
      </w:pPr>
      <w:r>
        <w:rPr>
          <w:rFonts w:ascii="Calibri" w:cs="Calibri" w:eastAsia="Calibri" w:hAnsi="Calibri"/>
          <w:color w:val="3D4653"/>
          <w:sz w:val="20"/>
          <w:szCs w:val="20"/>
        </w:rPr>
        <w:t xml:space="preserve">Dormancy detection and automated recertification: an interface nobody has used and nobody will vouch for is retired.</w:t>
      </w:r>
    </w:p>
    <w:p>
      <w:pPr>
        <w:pStyle w:val="ListParagraph"/>
        <w:numPr>
          <w:ilvl w:val="0"/>
          <w:numId w:val="2"/>
        </w:numPr>
        <w:spacing w:after="60" w:line="276"/>
      </w:pPr>
      <w:r>
        <w:rPr>
          <w:rFonts w:ascii="Calibri" w:cs="Calibri" w:eastAsia="Calibri" w:hAnsi="Calibri"/>
          <w:color w:val="3D4653"/>
          <w:sz w:val="20"/>
          <w:szCs w:val="20"/>
        </w:rPr>
        <w:t xml:space="preserve">Bulk onboarding: import a set of legacy interfaces and generate config rows in batch, for the migration off the legacy estate.</w:t>
      </w:r>
    </w:p>
    <w:p>
      <w:pPr>
        <w:pStyle w:val="ListParagraph"/>
        <w:numPr>
          <w:ilvl w:val="0"/>
          <w:numId w:val="2"/>
        </w:numPr>
        <w:spacing w:after="60" w:line="276"/>
      </w:pPr>
      <w:r>
        <w:rPr>
          <w:rFonts w:ascii="Calibri" w:cs="Calibri" w:eastAsia="Calibri" w:hAnsi="Calibri"/>
          <w:color w:val="3D4653"/>
          <w:sz w:val="20"/>
          <w:szCs w:val="20"/>
        </w:rPr>
        <w:t xml:space="preserve">Change and decommission requests against live interfaces, with field-level diff for the approver.</w:t>
      </w:r>
    </w:p>
    <w:p>
      <w:pPr>
        <w:pStyle w:val="Heading2"/>
        <w:spacing w:after="120" w:before="240"/>
      </w:pPr>
      <w:r>
        <w:rPr>
          <w:rFonts w:ascii="Calibri" w:cs="Calibri" w:eastAsia="Calibri" w:hAnsi="Calibri"/>
        </w:rPr>
        <w:t xml:space="preserve">Explicitly not in this phase</w:t>
      </w:r>
    </w:p>
    <w:p>
      <w:pPr>
        <w:pStyle w:val="ListParagraph"/>
        <w:numPr>
          <w:ilvl w:val="0"/>
          <w:numId w:val="2"/>
        </w:numPr>
        <w:spacing w:after="60" w:line="276"/>
      </w:pPr>
      <w:r>
        <w:rPr>
          <w:rFonts w:ascii="Calibri" w:cs="Calibri" w:eastAsia="Calibri" w:hAnsi="Calibri"/>
          <w:color w:val="3D4653"/>
          <w:sz w:val="20"/>
          <w:szCs w:val="20"/>
        </w:rPr>
        <w:t xml:space="preserve">Retirement of the legacy platform itself — a programme activity that this phase enables but does not own.</w:t>
      </w:r>
    </w:p>
    <w:p>
      <w:pPr>
        <w:pStyle w:val="Heading2"/>
        <w:spacing w:after="120" w:before="240"/>
      </w:pPr>
      <w:r>
        <w:rPr>
          <w:rFonts w:ascii="Calibri" w:cs="Calibri" w:eastAsia="Calibri" w:hAnsi="Calibri"/>
        </w:rPr>
        <w:t xml:space="preserve">The automation that builds it</w:t>
      </w:r>
    </w:p>
    <w:p>
      <w:pPr>
        <w:spacing w:after="120" w:line="276"/>
      </w:pPr>
      <w:r>
        <w:rPr>
          <w:rFonts w:ascii="Calibri" w:cs="Calibri" w:eastAsia="Calibri" w:hAnsi="Calibri"/>
          <w:i/>
          <w:iCs/>
          <w:color w:val="7A8493"/>
          <w:sz w:val="19"/>
          <w:szCs w:val="19"/>
        </w:rPr>
        <w:t xml:space="preserve">This is the part that makes Intelligrator a product rather than a form. Everything below happens without a human opening Boomi.</w:t>
      </w:r>
    </w:p>
    <w:p>
      <w:pPr>
        <w:pStyle w:val="ListParagraph"/>
        <w:numPr>
          <w:ilvl w:val="0"/>
          <w:numId w:val="2"/>
        </w:numPr>
        <w:spacing w:after="60" w:line="276"/>
      </w:pPr>
      <w:r>
        <w:rPr>
          <w:rFonts w:ascii="Calibri" w:cs="Calibri" w:eastAsia="Calibri" w:hAnsi="Calibri"/>
          <w:color w:val="3D4653"/>
          <w:sz w:val="20"/>
          <w:szCs w:val="20"/>
        </w:rPr>
        <w:t xml:space="preserve">Dormancy job flags an unused interface, prompts the owner, and retires it on non-response — config row disabled, never deleted.</w:t>
      </w:r>
    </w:p>
    <w:p>
      <w:pPr>
        <w:pStyle w:val="ListParagraph"/>
        <w:numPr>
          <w:ilvl w:val="0"/>
          <w:numId w:val="2"/>
        </w:numPr>
        <w:spacing w:after="60" w:line="276"/>
      </w:pPr>
      <w:r>
        <w:rPr>
          <w:rFonts w:ascii="Calibri" w:cs="Calibri" w:eastAsia="Calibri" w:hAnsi="Calibri"/>
          <w:color w:val="3D4653"/>
          <w:sz w:val="20"/>
          <w:szCs w:val="20"/>
        </w:rPr>
        <w:t xml:space="preserve">Bulk import validates a legacy interface inventory and generates config rows for approval in batch rather than one at a time.</w:t>
      </w:r>
    </w:p>
    <w:p>
      <w:pPr>
        <w:pStyle w:val="ListParagraph"/>
        <w:numPr>
          <w:ilvl w:val="0"/>
          <w:numId w:val="2"/>
        </w:numPr>
        <w:spacing w:after="60" w:line="276"/>
      </w:pPr>
      <w:r>
        <w:rPr>
          <w:rFonts w:ascii="Calibri" w:cs="Calibri" w:eastAsia="Calibri" w:hAnsi="Calibri"/>
          <w:color w:val="3D4653"/>
          <w:sz w:val="20"/>
          <w:szCs w:val="20"/>
        </w:rPr>
        <w:t xml:space="preserve">Chargeback report generated automatically from actual transfer and call volumes.</w:t>
      </w:r>
    </w:p>
    <w:p>
      <w:pPr>
        <w:pStyle w:val="Heading2"/>
        <w:spacing w:after="120" w:before="240"/>
      </w:pPr>
      <w:r>
        <w:rPr>
          <w:rFonts w:ascii="Calibri" w:cs="Calibri" w:eastAsia="Calibri" w:hAnsi="Calibri"/>
        </w:rPr>
        <w:t xml:space="preserve">Exit criteria — how you know it is done</w:t>
      </w:r>
    </w:p>
    <w:p>
      <w:pPr>
        <w:pStyle w:val="ListParagraph"/>
        <w:numPr>
          <w:ilvl w:val="0"/>
          <w:numId w:val="2"/>
        </w:numPr>
        <w:spacing w:after="60" w:line="276"/>
      </w:pPr>
      <w:r>
        <w:rPr>
          <w:rFonts w:ascii="Calibri" w:cs="Calibri" w:eastAsia="Calibri" w:hAnsi="Calibri"/>
          <w:color w:val="3D4653"/>
          <w:sz w:val="20"/>
          <w:szCs w:val="20"/>
        </w:rPr>
        <w:t xml:space="preserve">Every live interface has a named, currently-verified owner.</w:t>
      </w:r>
    </w:p>
    <w:p>
      <w:pPr>
        <w:pStyle w:val="ListParagraph"/>
        <w:numPr>
          <w:ilvl w:val="0"/>
          <w:numId w:val="2"/>
        </w:numPr>
        <w:spacing w:after="60" w:line="276"/>
      </w:pPr>
      <w:r>
        <w:rPr>
          <w:rFonts w:ascii="Calibri" w:cs="Calibri" w:eastAsia="Calibri" w:hAnsi="Calibri"/>
          <w:color w:val="3D4653"/>
          <w:sz w:val="20"/>
          <w:szCs w:val="20"/>
        </w:rPr>
        <w:t xml:space="preserve">A legacy interface inventory can be migrated in batch, through the same approval controls as a single request.</w:t>
      </w:r>
    </w:p>
    <w:p>
      <w:pPr>
        <w:pStyle w:val="ListParagraph"/>
        <w:numPr>
          <w:ilvl w:val="0"/>
          <w:numId w:val="2"/>
        </w:numPr>
        <w:spacing w:after="60" w:line="276"/>
      </w:pPr>
      <w:r>
        <w:rPr>
          <w:rFonts w:ascii="Calibri" w:cs="Calibri" w:eastAsia="Calibri" w:hAnsi="Calibri"/>
          <w:color w:val="3D4653"/>
          <w:sz w:val="20"/>
          <w:szCs w:val="20"/>
        </w:rPr>
        <w:t xml:space="preserve">The dormant tail of the estate is measurably shrinking, not growing.</w:t>
      </w:r>
    </w:p>
    <w:p>
      <w:pPr>
        <w:pStyle w:val="Heading2"/>
        <w:spacing w:after="120" w:before="240"/>
      </w:pPr>
      <w:r>
        <w:rPr>
          <w:rFonts w:ascii="Calibri" w:cs="Calibri" w:eastAsia="Calibri" w:hAnsi="Calibri"/>
        </w:rPr>
        <w:t xml:space="preserve">Backlog</w:t>
      </w:r>
    </w:p>
    <w:tbl>
      <w:tblPr>
        <w:tblW w:type="dxa" w:w="9360"/>
        <w:tblBorders>
          <w:top w:val="single" w:color="DFE4EA" w:sz="2"/>
          <w:left w:val="single" w:color="DFE4EA" w:sz="2"/>
          <w:bottom w:val="single" w:color="DFE4EA" w:sz="2"/>
          <w:right w:val="single" w:color="DFE4EA" w:sz="2"/>
          <w:insideH w:val="single" w:color="DFE4EA" w:sz="2"/>
          <w:insideV w:val="single" w:color="DFE4EA" w:sz="2"/>
        </w:tblBorders>
      </w:tblPr>
      <w:tblGrid>
        <w:gridCol w:w="900"/>
        <w:gridCol w:w="5300"/>
        <w:gridCol w:w="1560"/>
        <w:gridCol w:w="900"/>
        <w:gridCol w:w="700"/>
      </w:tblGrid>
      <w:tr>
        <w:trPr>
          <w:tblHeader/>
        </w:trPr>
        <w:tc>
          <w:tcPr>
            <w:tcW w:type="dxa" w:w="900"/>
            <w:shd w:fill="B3261E"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ID</w:t>
            </w:r>
          </w:p>
        </w:tc>
        <w:tc>
          <w:tcPr>
            <w:tcW w:type="dxa" w:w="5300"/>
            <w:shd w:fill="B3261E"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Story</w:t>
            </w:r>
          </w:p>
        </w:tc>
        <w:tc>
          <w:tcPr>
            <w:tcW w:type="dxa" w:w="1560"/>
            <w:shd w:fill="B3261E"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Persona</w:t>
            </w:r>
          </w:p>
        </w:tc>
        <w:tc>
          <w:tcPr>
            <w:tcW w:type="dxa" w:w="900"/>
            <w:shd w:fill="B3261E"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w:t>
            </w:r>
          </w:p>
        </w:tc>
        <w:tc>
          <w:tcPr>
            <w:tcW w:type="dxa" w:w="700"/>
            <w:shd w:fill="B3261E"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Pts</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TRK-04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Amend a rejected request and resubmit</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3</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TRK-06</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Request a change or decommission of a live interface</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5</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OPS-01</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See the health and usage of the interfaces I own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Standard User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OPS-02</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Make the cost of the estate visible by service line</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Could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OPS-03</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Detect dormancy and force recertification</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MFT Admin</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8</w:t>
            </w:r>
          </w:p>
        </w:tc>
      </w:tr>
      <w:tr>
        <w:tc>
          <w:tcPr>
            <w:tcW w:type="dxa" w:w="900"/>
            <w:tcMar>
              <w:top w:type="dxa" w:w="80"/>
              <w:left w:type="dxa" w:w="110"/>
              <w:bottom w:type="dxa" w:w="80"/>
              <w:right w:type="dxa" w:w="110"/>
            </w:tcMar>
          </w:tcPr>
          <w:p>
            <w:pPr>
              <w:spacing w:after="0"/>
            </w:pPr>
            <w:r>
              <w:rPr>
                <w:rFonts w:ascii="Calibri" w:cs="Calibri" w:eastAsia="Calibri" w:hAnsi="Calibri"/>
                <w:b/>
                <w:bCs/>
                <w:color w:val="003D9E"/>
                <w:sz w:val="19"/>
                <w:szCs w:val="19"/>
              </w:rPr>
              <w:t xml:space="preserve">OPS-04</w:t>
            </w:r>
          </w:p>
        </w:tc>
        <w:tc>
          <w:tcPr>
            <w:tcW w:type="dxa" w:w="5300"/>
            <w:tcMar>
              <w:top w:type="dxa" w:w="80"/>
              <w:left w:type="dxa" w:w="110"/>
              <w:bottom w:type="dxa" w:w="80"/>
              <w:right w:type="dxa" w:w="110"/>
            </w:tcMar>
          </w:tcPr>
          <w:p>
            <w:pPr>
              <w:spacing w:after="0"/>
            </w:pPr>
            <w:r>
              <w:rPr>
                <w:rFonts w:ascii="Calibri" w:cs="Calibri" w:eastAsia="Calibri" w:hAnsi="Calibri"/>
                <w:color w:val="3D4653"/>
                <w:sz w:val="19"/>
                <w:szCs w:val="19"/>
              </w:rPr>
              <w:t xml:space="preserve">Bulk-onboard a legacy interface inventory</w:t>
            </w:r>
          </w:p>
        </w:tc>
        <w:tc>
          <w:tcPr>
            <w:tcW w:type="dxa" w:w="1560"/>
            <w:tcMar>
              <w:top w:type="dxa" w:w="80"/>
              <w:left w:type="dxa" w:w="110"/>
              <w:bottom w:type="dxa" w:w="80"/>
              <w:right w:type="dxa" w:w="110"/>
            </w:tcMar>
          </w:tcPr>
          <w:p>
            <w:pPr>
              <w:spacing w:after="0"/>
            </w:pPr>
            <w:r>
              <w:rPr>
                <w:rFonts w:ascii="Calibri" w:cs="Calibri" w:eastAsia="Calibri" w:hAnsi="Calibri"/>
                <w:color w:val="3D4653"/>
                <w:sz w:val="19"/>
                <w:szCs w:val="19"/>
              </w:rPr>
              <w:t xml:space="preserve">Platform Engineer</w:t>
            </w:r>
          </w:p>
        </w:tc>
        <w:tc>
          <w:tcPr>
            <w:tcW w:type="dxa" w:w="900"/>
            <w:tcMar>
              <w:top w:type="dxa" w:w="80"/>
              <w:left w:type="dxa" w:w="110"/>
              <w:bottom w:type="dxa" w:w="80"/>
              <w:right w:type="dxa" w:w="110"/>
            </w:tcMar>
          </w:tcPr>
          <w:p>
            <w:pPr>
              <w:spacing w:after="0"/>
            </w:pPr>
            <w:r>
              <w:rPr>
                <w:rFonts w:ascii="Calibri" w:cs="Calibri" w:eastAsia="Calibri" w:hAnsi="Calibri"/>
                <w:color w:val="3D4653"/>
                <w:sz w:val="19"/>
                <w:szCs w:val="19"/>
              </w:rPr>
              <w:t xml:space="preserve">Should</w:t>
            </w:r>
          </w:p>
        </w:tc>
        <w:tc>
          <w:tcPr>
            <w:tcW w:type="dxa" w:w="700"/>
            <w:tcMar>
              <w:top w:type="dxa" w:w="80"/>
              <w:left w:type="dxa" w:w="110"/>
              <w:bottom w:type="dxa" w:w="80"/>
              <w:right w:type="dxa" w:w="110"/>
            </w:tcMar>
          </w:tcPr>
          <w:p>
            <w:pPr>
              <w:spacing w:after="0"/>
            </w:pPr>
            <w:r>
              <w:rPr>
                <w:rFonts w:ascii="Calibri" w:cs="Calibri" w:eastAsia="Calibri" w:hAnsi="Calibri"/>
                <w:color w:val="3D4653"/>
                <w:sz w:val="19"/>
                <w:szCs w:val="19"/>
              </w:rPr>
              <w:t xml:space="preserve">13</w:t>
            </w:r>
          </w:p>
        </w:tc>
      </w:tr>
    </w:tbl>
    <w:p>
      <w:r>
        <w:br w:type="page"/>
      </w:r>
    </w:p>
    <w:p>
      <w:pPr>
        <w:pStyle w:val="Heading1"/>
        <w:spacing w:after="120" w:before="240"/>
      </w:pPr>
      <w:r>
        <w:rPr>
          <w:rFonts w:ascii="Calibri" w:cs="Calibri" w:eastAsia="Calibri" w:hAnsi="Calibri"/>
        </w:rPr>
        <w:t xml:space="preserve">11. Challenges and responses</w:t>
      </w:r>
    </w:p>
    <w:p>
      <w:pPr>
        <w:spacing w:after="120" w:line="276"/>
      </w:pPr>
      <w:r>
        <w:rPr>
          <w:rFonts w:ascii="Calibri" w:cs="Calibri" w:eastAsia="Calibri" w:hAnsi="Calibri"/>
          <w:color w:val="3D4653"/>
          <w:sz w:val="21"/>
          <w:szCs w:val="21"/>
        </w:rPr>
        <w:t xml:space="preserve">Deliberate challenges to this plan, with a recommended position on each. These need a named owner before Phase 0 starts, not at a gate review.</w:t>
      </w:r>
    </w:p>
    <w:p>
      <w:pPr>
        <w:spacing w:after="80" w:before="220"/>
      </w:pPr>
      <w:r>
        <w:rPr>
          <w:rFonts w:ascii="Calibri" w:cs="Calibri" w:eastAsia="Calibri" w:hAnsi="Calibri"/>
          <w:b/>
          <w:bCs/>
          <w:color w:val="8F1D17"/>
          <w:sz w:val="21"/>
          <w:szCs w:val="21"/>
        </w:rPr>
        <w:t xml:space="preserve">Challenge: Username and password in the MVP, for a tax authority. Is that acceptable?</w:t>
      </w:r>
    </w:p>
    <w:p>
      <w:pPr>
        <w:spacing w:after="120" w:line="276"/>
      </w:pPr>
      <w:r>
        <w:rPr>
          <w:rFonts w:ascii="Calibri" w:cs="Calibri" w:eastAsia="Calibri" w:hAnsi="Calibri"/>
          <w:color w:val="3D4653"/>
          <w:sz w:val="21"/>
          <w:szCs w:val="21"/>
        </w:rPr>
        <w:t xml:space="preserve">For an internal, invitation-only pilot onboarding non-production interfaces — yes, and it buys perhaps six to eight weeks of schedule. For production interfaces carrying real data — no. Two things make this safe rather than merely fast. First, Phase 0 builds a pluggable authentication abstraction (ACC-06 AC6), so Phase 3 swaps in SSO by configuration, not by rebuild; if that abstraction is dropped to save time, the whole argument collapses and you will rebuild. Second, local accounts are admin-approved, domain-restricted and never long-lived (ACC-07). Recommendation: gate the MVP so that it cannot provision a Production interface until Phase 3 lands. If the programme will not accept that gate, pull SSO forward into Phase 1 and accept the delay — do not simply hope.</w:t>
      </w:r>
    </w:p>
    <w:p>
      <w:pPr>
        <w:spacing w:after="80" w:before="220"/>
      </w:pPr>
      <w:r>
        <w:rPr>
          <w:rFonts w:ascii="Calibri" w:cs="Calibri" w:eastAsia="Calibri" w:hAnsi="Calibri"/>
          <w:b/>
          <w:bCs/>
          <w:color w:val="8F1D17"/>
          <w:sz w:val="21"/>
          <w:szCs w:val="21"/>
        </w:rPr>
        <w:t xml:space="preserve">Challenge: The mashup capability is where "config over construction" goes to die. What stops it?</w:t>
      </w:r>
    </w:p>
    <w:p>
      <w:pPr>
        <w:spacing w:after="120" w:line="276"/>
      </w:pPr>
      <w:r>
        <w:rPr>
          <w:rFonts w:ascii="Calibri" w:cs="Calibri" w:eastAsia="Calibri" w:hAnsi="Calibri"/>
          <w:color w:val="3D4653"/>
          <w:sz w:val="21"/>
          <w:szCs w:val="21"/>
        </w:rPr>
        <w:t xml:space="preserve">Nothing, unless it is designed in. A mashup is an orchestration, and the instinctive Boomi answer is a new process per mashup — at which point you have rebuilt the sprawl you are migrating away from, in a newer product. API-10 AC6 is the line: the composition is a declarative specification executed by ONE generic orchestration engine, exactly as an MFT config row is executed by one generic MFT engine. API-11 AC2 is the second line: transformations come from a governed library, not from arbitrary scripting. The moment someone is allowed to drop a Groovy step into a mashup, the principle is gone. Expect that request in month four and decide the answer now, not then.</w:t>
      </w:r>
    </w:p>
    <w:p>
      <w:pPr>
        <w:spacing w:after="80" w:before="220"/>
      </w:pPr>
      <w:r>
        <w:rPr>
          <w:rFonts w:ascii="Calibri" w:cs="Calibri" w:eastAsia="Calibri" w:hAnsi="Calibri"/>
          <w:b/>
          <w:bCs/>
          <w:color w:val="8F1D17"/>
          <w:sz w:val="21"/>
          <w:szCs w:val="21"/>
        </w:rPr>
        <w:t xml:space="preserve">Challenge: Should the MVP really include the build automation, or just the request form?</w:t>
      </w:r>
    </w:p>
    <w:p>
      <w:pPr>
        <w:spacing w:after="120" w:line="276"/>
      </w:pPr>
      <w:r>
        <w:rPr>
          <w:rFonts w:ascii="Calibri" w:cs="Calibri" w:eastAsia="Calibri" w:hAnsi="Calibri"/>
          <w:color w:val="3D4653"/>
          <w:sz w:val="21"/>
          <w:szCs w:val="21"/>
        </w:rPr>
        <w:t xml:space="preserve">It must include the automation. A portal that captures a request and then hands a spreadsheet to the platform team is a nicer-looking ticket queue — and the business case for Intelligrator is not "prettier tickets", it is lead time and the removal of per-interface build. If Phase 1 ships without PRV-01, the MVP has not tested the hypothesis the product exists to test. Cut scope from the form (fewer protocols, SFTP only) before you cut it from the automation.</w:t>
      </w:r>
    </w:p>
    <w:p>
      <w:pPr>
        <w:spacing w:after="80" w:before="220"/>
      </w:pPr>
      <w:r>
        <w:rPr>
          <w:rFonts w:ascii="Calibri" w:cs="Calibri" w:eastAsia="Calibri" w:hAnsi="Calibri"/>
          <w:b/>
          <w:bCs/>
          <w:color w:val="8F1D17"/>
          <w:sz w:val="21"/>
          <w:szCs w:val="21"/>
        </w:rPr>
        <w:t xml:space="preserve">Challenge: Six phases over sixty weeks. Is the sequence right?</w:t>
      </w:r>
    </w:p>
    <w:p>
      <w:pPr>
        <w:spacing w:after="120" w:line="276"/>
      </w:pPr>
      <w:r>
        <w:rPr>
          <w:rFonts w:ascii="Calibri" w:cs="Calibri" w:eastAsia="Calibri" w:hAnsi="Calibri"/>
          <w:color w:val="3D4653"/>
          <w:sz w:val="21"/>
          <w:szCs w:val="21"/>
        </w:rPr>
        <w:t xml:space="preserve">The debatable one is Phase 3 sitting after Phase 2. It means the API build capability lands before enterprise SSO and the full pre-check engine — which is uncomfortable. The argument for it is that Phase 2 is where the value and the political capital are, and that the Phase 1 controls (admin-approved accounts, segregation of duties, audit trail, basic pre-checks) are adequate for a governed pilot. The argument against is that an API estate is harder to retrofit governance onto than an MFT estate. If the security assurance position will not tolerate it, swap Phases 2 and 3. That is a decision for the SRO, and it should be taken explicitly rather than discovered at a gate review.</w:t>
      </w:r>
    </w:p>
    <w:p>
      <w:pPr>
        <w:spacing w:after="80" w:before="220"/>
      </w:pPr>
      <w:r>
        <w:rPr>
          <w:rFonts w:ascii="Calibri" w:cs="Calibri" w:eastAsia="Calibri" w:hAnsi="Calibri"/>
          <w:b/>
          <w:bCs/>
          <w:color w:val="8F1D17"/>
          <w:sz w:val="21"/>
          <w:szCs w:val="21"/>
        </w:rPr>
        <w:t xml:space="preserve">Challenge: What is the single thing most likely to derail this?</w:t>
      </w:r>
    </w:p>
    <w:p>
      <w:pPr>
        <w:spacing w:after="120" w:line="276"/>
      </w:pPr>
      <w:r>
        <w:rPr>
          <w:rFonts w:ascii="Calibri" w:cs="Calibri" w:eastAsia="Calibri" w:hAnsi="Calibri"/>
          <w:color w:val="3D4653"/>
          <w:sz w:val="21"/>
          <w:szCs w:val="21"/>
        </w:rPr>
        <w:t xml:space="preserve">The config schema (Phase 0). Every later phase reads from it. If it is designed narrowly around SFTP because that is what the MVP needs, then Phase 2 will bolt an API table onto the side, Phase 4 will bolt an event table onto the side, and by Phase 5 you have three products sharing a login page. Design the schema for all three pattern families in Phase 0, even though only one is implemented. That is four weeks of thinking that saves a rewrite.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4B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4B0"/>
        <w:sz w:val="16"/>
        <w:szCs w:val="16"/>
      </w:rPr>
      <w:t xml:space="preserve">Intelligrator — Phased Productionisation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65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0F1723"/>
      <w:sz w:val="30"/>
      <w:szCs w:val="30"/>
    </w:rPr>
  </w:style>
  <w:style w:type="paragraph" w:styleId="Heading2">
    <w:name w:val="Heading 2"/>
    <w:basedOn w:val="Normal"/>
    <w:next w:val="Normal"/>
    <w:qFormat/>
    <w:pPr>
      <w:spacing w:after="100" w:before="240"/>
    </w:pPr>
    <w:rPr>
      <w:rFonts w:ascii="Calibri" w:cs="Calibri" w:eastAsia="Calibri" w:hAnsi="Calibri"/>
      <w:b/>
      <w:bCs/>
      <w:color w:val="003D9E"/>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7af01c29fb09b65ad922349892a2fcb9f505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Intelligrator — Phased Productionisation Plan</dc:title>
  <dc:creator>Integration Catalogue Bot</dc:creator>
  <cp:lastModifiedBy>Un-named</cp:lastModifiedBy>
  <cp:revision>1</cp:revision>
  <dcterms:created xsi:type="dcterms:W3CDTF">2026-07-14T15:17:58.750Z</dcterms:created>
  <dcterms:modified xsi:type="dcterms:W3CDTF">2026-07-14T15:17:58.766Z</dcterms:modified>
</cp:coreProperties>
</file>

<file path=docProps/custom.xml><?xml version="1.0" encoding="utf-8"?>
<Properties xmlns="http://schemas.openxmlformats.org/officeDocument/2006/custom-properties" xmlns:vt="http://schemas.openxmlformats.org/officeDocument/2006/docPropsVTypes"/>
</file>