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rPr>
          <w:rFonts w:ascii="Calibri" w:cs="Calibri" w:eastAsia="Calibri" w:hAnsi="Calibri"/>
          <w:b/>
          <w:bCs/>
          <w:color w:val="5A6472"/>
          <w:sz w:val="18"/>
          <w:szCs w:val="18"/>
        </w:rPr>
        <w:t xml:space="preserve">OFFICIAL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3D9E"/>
          <w:sz w:val="52"/>
          <w:szCs w:val="52"/>
        </w:rPr>
        <w:t xml:space="preserve">Solution Design Document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2161C"/>
          <w:sz w:val="30"/>
          <w:szCs w:val="30"/>
        </w:rPr>
        <w:t xml:space="preserve">Managed File Transfer on Boomi (powered by Thru)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Boomi platform capabilities · Architecture · Integration with the HMRC estate · Features, gaps &amp; drawbacks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2161C"/>
          <w:sz w:val="20"/>
          <w:szCs w:val="20"/>
        </w:rPr>
        <w:t xml:space="preserve">HM Revenue &amp; Customs — Integration Platform (Boomi iPaaS) Programme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Version 0.1 (DRAFT for Design Authority review) · 20 July 2026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1  Document control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900"/>
        <w:gridCol w:w="3100"/>
        <w:gridCol w:w="1900"/>
        <w:gridCol w:w="2126"/>
      </w:tblGrid>
      <w:tr>
        <w:trPr>
          <w:tblHeader/>
        </w:trPr>
        <w:tc>
          <w:tcPr>
            <w:tcW w:type="dxa" w:w="19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1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9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1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SDD — MFT on Boomi (Thru)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1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OFFICIAL</w:t>
            </w:r>
          </w:p>
        </w:tc>
      </w:tr>
      <w:tr>
        <w:tc>
          <w:tcPr>
            <w:tcW w:type="dxa" w:w="19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Version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0.1 (DRAFT)</w:t>
            </w:r>
          </w:p>
        </w:tc>
        <w:tc>
          <w:tcPr>
            <w:tcW w:type="dxa" w:w="19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Status</w:t>
            </w:r>
          </w:p>
        </w:tc>
        <w:tc>
          <w:tcPr>
            <w:tcW w:type="dxa" w:w="21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For Design Authority review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Author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Integration Architecture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Date</w:t>
            </w:r>
          </w:p>
        </w:tc>
        <w:tc>
          <w:tcPr>
            <w:tcW w:type="dxa" w:w="21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20 July 2026</w:t>
            </w:r>
          </w:p>
        </w:tc>
      </w:tr>
      <w:tr>
        <w:tc>
          <w:tcPr>
            <w:tcW w:type="dxa" w:w="19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Owner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Integration Platform Programme</w:t>
            </w:r>
          </w:p>
        </w:tc>
        <w:tc>
          <w:tcPr>
            <w:tcW w:type="dxa" w:w="19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Product</w:t>
            </w:r>
          </w:p>
        </w:tc>
        <w:tc>
          <w:tcPr>
            <w:tcW w:type="dxa" w:w="21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Boomi Enterprise Platform — MFT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Reviewers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Design Authority; Security Architecture; Ops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Approver</w:t>
            </w:r>
          </w:p>
        </w:tc>
        <w:tc>
          <w:tcPr>
            <w:tcW w:type="dxa" w:w="21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Design Authority (pending)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5A6472"/>
          <w:sz w:val="22"/>
          <w:szCs w:val="22"/>
        </w:rPr>
        <w:t xml:space="preserve">Related documents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  <w:tc>
          <w:tcPr>
            <w:tcW w:type="dxa" w:w="64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Estate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Estate reference — MDTP, SaaS systems (S4H, CF/MSD, Pega, CDS), HoD applications (AWS/Azure/Crown Hosting/Fujitsu); WebMethods (coexistence)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Vendor</w:t>
            </w:r>
          </w:p>
        </w:tc>
        <w:tc>
          <w:tcPr>
            <w:tcW w:type="dxa" w:w="6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Boomi native MFT (Thru) product documentation and release notes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Principle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“Config over construction” — recommended MFT platform design principle (this document)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5A6472"/>
          <w:sz w:val="22"/>
          <w:szCs w:val="22"/>
        </w:rPr>
        <w:t xml:space="preserve">Version history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300"/>
        <w:gridCol w:w="1900"/>
        <w:gridCol w:w="2200"/>
        <w:gridCol w:w="3626"/>
      </w:tblGrid>
      <w:tr>
        <w:trPr>
          <w:tblHeader/>
        </w:trPr>
        <w:tc>
          <w:tcPr>
            <w:tcW w:type="dxa" w:w="13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9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6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0.1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Integration Architecture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Initial draft for Design Authority review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2  Executive summary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Boomi acquired Thru, Inc. in May 2025 to embed enterprise-grade Managed File Transfer (MFT) natively within the Boomi Enterprise Platform, unifying API-based, application-based and file-based data movement under a single control plane. This Solution Design Document (SDD) sets out how Boomi native MFT is used to deliver governed, secure, auditable and config-driven file transfer for the HMRC integration estate, coexisting with and progressively replacing legacy WebMethods and bespoke file-mover jobs.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design is anchored to a single recommended platform principle: </w:t>
      </w:r>
      <w:r>
        <w:rPr>
          <w:rFonts w:ascii="Calibri" w:cs="Calibri" w:eastAsia="Calibri" w:hAnsi="Calibri"/>
          <w:b/>
          <w:bCs/>
          <w:color w:val="12161C"/>
          <w:sz w:val="21"/>
          <w:szCs w:val="21"/>
        </w:rPr>
        <w:t xml:space="preserve">“config over construction”</w:t>
      </w:r>
      <w:r>
        <w:rPr>
          <w:rFonts w:ascii="Calibri" w:cs="Calibri" w:eastAsia="Calibri" w:hAnsi="Calibri"/>
          <w:color w:val="12161C"/>
          <w:sz w:val="21"/>
          <w:szCs w:val="21"/>
        </w:rPr>
        <w:t xml:space="preserve">. A single generic MFT engine process handles every transfer; each approved interface becomes a configuration row in a routing table, never a new Boomi component. This keeps the estate small, uniform, testable and cheap to govern as the number of onboarded transfers grows.</w:t>
      </w:r>
    </w:p>
    <w:tbl>
      <w:tblPr>
        <w:tblW w:type="dxa" w:w="9026"/>
        <w:tblBorders>
          <w:top w:val="none"/>
          <w:left w:val="single" w:color="003D9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20"/>
                <w:szCs w:val="20"/>
              </w:rPr>
              <w:t xml:space="preserve">Recommendation to the Design Authority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Adopt Boomi native MFT (Thru) as the strategic MFT capability for the estate, deployed as a hybrid topology (Boomi-hosted control plane + customer-managed MFT runtimes so OFFICIAL payloads remain within the trusted boundary).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Proceed on the basis that the design decisions (Section 12) are accepted and the open questions (Section 14) are assigned named owners before build — most materially: data residency/assurance for OFFICIAL, long-term audit retention beyond native defaults, the absence of a native CI/CD pipeline for MFT configuration, and the lack of a native path to source MFT credentials from the enterprise password/secrets manager.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3  Purpose, scope and audience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3.1  Purpose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To provide the design baseline for MFT on the Boomi platform sufficient for Design Authority sign-off: the platform capabilities relied upon, the target architecture, how it integrates with the HMRC estate, the non-functional posture, and an honest assessment of platform gaps and drawbacks and the decisions/actions they drive.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3.2  In scope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Boomi native MFT (Thru) capabilities relied upon by the estate.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Logical and deployment architecture, including the config-driven generic engine.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Integration with MDTP, the SaaS systems (S4H, CF/MSD, Pega, CDS) and the HoD applications hosted across AWS, Azure, Crown Hosting and Fujitsu; WebMethods coexistence.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Security, non-functional design, and operability.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Capability/feature inventory and gap analysis with mitigations.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3.3  Out of scope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Per-interface onboarding detail (each transfer is delivered as configuration, not design).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API Management and event-streaming capabilities (separate Boomi platform designs).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Commercial, licensing and contractual terms.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Detailed network/firewall low-level design (referenced as a dependency).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3.4  Audience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Design Authority, Security Architecture, Integration Architecture, and Platform Operations.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4  Background and context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estate moves files between external consumers/OGDs, the digital tax platform (MDTP) and the SaaS systems (S4H, CF/MSD, Pega, CDS), and the Heads-of-Duty (HoD) applications hosted across AWS, Azure, Crown Hosting and Fujitsu — historically through a mix of WebMethods Integration Server flows and bespoke scheduled SFTP scripts. This fragmentation produces inconsistent security controls, weak central audit, and a per-interface bespoke build cost that does not scale.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4.1  Drivers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Consolidate file movement onto Boomi iPaaS as the strategic integration platform.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Eliminate bespoke code in favour of configuration, reducing build and assurance cost.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Provide a single source of truth for monitoring, tracking and audit of all transfers.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Standardise onboarding so each new transfer is a governed configuration change, not a build.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Provide a controlled path to decommission WebMethods.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4.2  Legacy estate touchpoints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/ host</w:t>
            </w:r>
          </w:p>
        </w:tc>
        <w:tc>
          <w:tcPr>
            <w:tcW w:type="dxa" w:w="68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Relationship to MFT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MDTP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Digital tax platform; consumer/producer of managed file transfers.</w:t>
            </w:r>
          </w:p>
        </w:tc>
      </w:tr>
      <w:tr>
        <w:tc>
          <w:tcPr>
            <w:tcW w:type="dxa" w:w="22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SaaS systems (native iPaaS)</w:t>
            </w:r>
          </w:p>
        </w:tc>
        <w:tc>
          <w:tcPr>
            <w:tcW w:type="dxa" w:w="6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Tax (S4H), CRM (CF/MSD), Workflow (Pega) and B&amp;T (CDS); exchange files via the iPaaS platform.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HoD applications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Heads-of-Duty applications hosted across AWS, Azure, Crown Hosting and Fujitsu; delivery/collection endpoints reached from the internal runtime.</w:t>
            </w:r>
          </w:p>
        </w:tc>
      </w:tr>
      <w:tr>
        <w:tc>
          <w:tcPr>
            <w:tcW w:type="dxa" w:w="22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WebMethods IS</w:t>
            </w:r>
          </w:p>
        </w:tc>
        <w:tc>
          <w:tcPr>
            <w:tcW w:type="dxa" w:w="6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Incumbent broker/flows and drop-zones; source and target during coexistence; decommission target.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External consumers / OGDs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Other government departments and 3rd-party consumers exchanging files over SFTP/FTPS/AS2.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5  Requirements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5.1  Functional requirements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300"/>
        <w:gridCol w:w="5326"/>
        <w:gridCol w:w="2400"/>
      </w:tblGrid>
      <w:tr>
        <w:trPr>
          <w:tblHeader/>
        </w:trPr>
        <w:tc>
          <w:tcPr>
            <w:tcW w:type="dxa" w:w="13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53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 by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FR-01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Secure inbound and outbound transfer over multiple protocols (SFTP, FTPS, AS2).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Native MFT endpoints</w:t>
            </w:r>
          </w:p>
        </w:tc>
      </w:tr>
      <w:tr>
        <w:tc>
          <w:tcPr>
            <w:tcW w:type="dxa" w:w="1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FR-02</w:t>
            </w:r>
          </w:p>
        </w:tc>
        <w:tc>
          <w:tcPr>
            <w:tcW w:type="dxa" w:w="53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Onboard trading partners and endpoints without new build.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Orgs/Endpoints + config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FR-03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Trigger downstream Boomi processing on file arrival (event-driven).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MFT → process trigger</w:t>
            </w:r>
          </w:p>
        </w:tc>
      </w:tr>
      <w:tr>
        <w:tc>
          <w:tcPr>
            <w:tcW w:type="dxa" w:w="1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FR-04</w:t>
            </w:r>
          </w:p>
        </w:tc>
        <w:tc>
          <w:tcPr>
            <w:tcW w:type="dxa" w:w="53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End-to-end tracking with a unique transfer identifier and delivery confirmation.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Tracking &amp; audit log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FR-05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Guaranteed delivery with automatic retry and fault tolerance.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Persistence + retry</w:t>
            </w:r>
          </w:p>
        </w:tc>
      </w:tr>
      <w:tr>
        <w:tc>
          <w:tcPr>
            <w:tcW w:type="dxa" w:w="1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FR-06</w:t>
            </w:r>
          </w:p>
        </w:tc>
        <w:tc>
          <w:tcPr>
            <w:tcW w:type="dxa" w:w="53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Handle large files and archives efficiently.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Streaming + TAR support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FR-07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Encrypt/decrypt payloads (PGP, incl. ASCII-armor) and secure in transit.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PGP + TLS/SSH</w:t>
            </w:r>
          </w:p>
        </w:tc>
      </w:tr>
      <w:tr>
        <w:tc>
          <w:tcPr>
            <w:tcW w:type="dxa" w:w="1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FR-08</w:t>
            </w:r>
          </w:p>
        </w:tc>
        <w:tc>
          <w:tcPr>
            <w:tcW w:type="dxa" w:w="53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Filename-pattern routing, filtering and post-transfer actions.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Flow endpoints + config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FR-09</w:t>
            </w:r>
          </w:p>
        </w:tc>
        <w:tc>
          <w:tcPr>
            <w:tcW w:type="dxa" w:w="5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Time-based scheduling and polling of sources.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Scheduling engine</w:t>
            </w:r>
          </w:p>
        </w:tc>
      </w:tr>
      <w:tr>
        <w:tc>
          <w:tcPr>
            <w:tcW w:type="dxa" w:w="1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FR-10</w:t>
            </w:r>
          </w:p>
        </w:tc>
        <w:tc>
          <w:tcPr>
            <w:tcW w:type="dxa" w:w="53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Alert on failure and SLA breach; expose operational telemetry.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Health telemetry + OTel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5.2  Non-functional requirements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300"/>
        <w:gridCol w:w="3200"/>
        <w:gridCol w:w="4526"/>
      </w:tblGrid>
      <w:tr>
        <w:trPr>
          <w:tblHeader/>
        </w:trPr>
        <w:tc>
          <w:tcPr>
            <w:tcW w:type="dxa" w:w="13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32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5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 response (Section 10)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NFR-01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High availability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Clustered runtime (Molecule) + resilient edge</w:t>
            </w:r>
          </w:p>
        </w:tc>
      </w:tr>
      <w:tr>
        <w:tc>
          <w:tcPr>
            <w:tcW w:type="dxa" w:w="1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NFR-02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Disaster recovery (RTO/RPO to be set)</w:t>
            </w:r>
          </w:p>
        </w:tc>
        <w:tc>
          <w:tcPr>
            <w:tcW w:type="dxa" w:w="45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Secondary runtime + config replication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NFR-03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Scalability under peak batch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Elastic cloud components + horizontal Atoms</w:t>
            </w:r>
          </w:p>
        </w:tc>
      </w:tr>
      <w:tr>
        <w:tc>
          <w:tcPr>
            <w:tcW w:type="dxa" w:w="1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NFR-04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Security &amp; data protection (OFFICIAL)</w:t>
            </w:r>
          </w:p>
        </w:tc>
        <w:tc>
          <w:tcPr>
            <w:tcW w:type="dxa" w:w="45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Encryption, RBAC, segregation, key custody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NFR-05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Auditability &amp; retention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Immutable transfer log + long-term archive</w:t>
            </w:r>
          </w:p>
        </w:tc>
      </w:tr>
      <w:tr>
        <w:tc>
          <w:tcPr>
            <w:tcW w:type="dxa" w:w="1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NFR-06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5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OpenTelemetry export to SIEM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NFR-07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Data residency (UK) for OFFICIAL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Hybrid: payload on-prem; confirm control-plane region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6  Boomi MFT capabilities (Thru)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Boomi MFT is delivered as part of the Boomi Enterprise Platform. It is a storage-based, cloud-native MFT service (from the Thru acquisition) that provides persistence, scheduling, fault tolerance, monitoring, audit logging and security for file-based data exchange, and integrates directly with Boomi Integration processes so that file flows and data-processing flows are managed together.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6.1  Core capabilities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Protocols &amp; endpoints: SFTP, FTPS and AS2 endpoints, organised under Organizations → Endpoints → Flows; the MFT SFTP server operates on port 22 with full SSH authentication.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Trading-partner connectivity: partner/community model for onboarding external parties; Boomi is extending its unified trading-partner framework to MFT.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Persistence &amp; guaranteed delivery: files are persisted with automatic retry and fault tolerance so transfers survive transient failures.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Event-driven integration: file arrival can trigger a Boomi Integration process for validation, transformation and routing (the MFT Connector bridges file flows and processing flows).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Security: PGP encryption/decryption including ASCII-armor (.asc); TLS/SSH in transit; RBAC on the platform.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In-flight file handling: TAR archive/extract (with optional compression) directly in Flow Endpoints; filename-pattern matching and post-actions.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Tracking &amp; audit: end-to-end visibility of every transfer with delivery confirmation and audit logging — a single source of truth for all file movement.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Scheduling &amp; automation: time-based automated file transfer with schedule history.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Observability: OpenTelemetry export of metrics, logs and execution traces to external monitoring tools, plus runtime heartbeat/health telemetry.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Hybrid runtime: MFT cloud components, MFT runtimes deployable on customer premises, and the MFT Connector inside integration processes — a distributed hybrid architecture.</w:t>
      </w:r>
    </w:p>
    <w:tbl>
      <w:tblPr>
        <w:tblW w:type="dxa" w:w="9026"/>
        <w:tblBorders>
          <w:top w:val="none"/>
          <w:left w:val="single" w:color="8A5A0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8E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5A0A"/>
                <w:sz w:val="20"/>
                <w:szCs w:val="20"/>
              </w:rPr>
              <w:t xml:space="preserve">Recent platform movement (validate against the live release)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The March 2026 release added TAR archive support, PGP ASCII-armor, continued (deprecated) SFTP DSA host-key support for legacy partners, automated data retention (schedule history 3 months, audit logs 12 months), and MFT runtime performance/health-telemetry improvements.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The Q2 2026 roadmap focuses on scaling the distributed hybrid MFT architecture and extending the trading-partner framework and file-flow extensibility — confirm the exact GA feature set at build time.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7  Solution architecture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architecture is shown as a clean logical view. The external estate — 3rd-party consumers/OGDs, the digital tax platform (MDTP) and the native-iPaaS SaaS systems (ETMP/S4H, CRM CF/MSD, Workflow Pega, B&amp;T CDS) — exchanges files with the Boomi iPaaS Platform. Across the external/internal trust boundary, the Boomi internal runtime hosts the config-driven MFT engine and delivers to / collects from the Heads-of-Duty (HoD) applications across AWS, Azure, Crown Hosting and Fujitsu. Section 7.1 details what each layer contains; §7.5 (Figure 2) shows how MFT is driven by the integration platform. The editable source (draw.io) accompanies this document.</w:t>
      </w:r>
    </w:p>
    <w:p>
      <w:pPr>
        <w:spacing w:after="40" w:before="60"/>
        <w:jc w:val="center"/>
      </w:pPr>
      <w:r>
        <w:drawing>
          <wp:inline distT="0" distB="0" distL="0" distR="0">
            <wp:extent cx="61722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1 — MFT on Boomi: tiered architecture (consumers → cloud → runtime → systems)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7.1  Tiers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64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 &amp; purpose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Tier 1 — Consumers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The external, cross-government, digital and SaaS systems that consume and produce transfers: 3rd-party consumers/OGDs, the digital tax platform (MDTP), and the native-iPaaS SaaS systems Tax (S4H), CRM (CF/MSD), Workflow (Pega) and B&amp;T (CDS).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Tier 2 — Cloud integration layer (incl. MFT)</w:t>
            </w:r>
          </w:p>
        </w:tc>
        <w:tc>
          <w:tcPr>
            <w:tcW w:type="dxa" w:w="6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The Boomi iPaaS SaaS control plane: Integration &amp; API management (API Control Plane, Developer Portal(s), Integration Flow Designer, Cloud API Management, external API gateway) alongside the MFT cloud components (SFTP/FTPS/AS2 listeners, landing zones, tracking/audit, keys, scheduling, OTel, RBAC). Confirm UK region for OFFICIAL.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Trust boundary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External/internal (cloud/runtime) separation. Payloads stay within the trusted boundary; only control/tracking metadata surfaces to the cloud layer.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Tier 3 — Runtime integration layer (incl. MFT)</w:t>
            </w:r>
          </w:p>
        </w:tc>
        <w:tc>
          <w:tcPr>
            <w:tcW w:type="dxa" w:w="6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Customer-managed Boomi runtime in the trusted zone: Integration Flow Runtime, internal API gateways (CAM Runtime, Kong), the Boomi MFT Connector, and the generic config-driven MFT engine with its config/routing DB.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Tier 4 — Backend / HMRC systems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The Heads-of-Duty (HoD) applications hosted across AWS, Azure, Crown Hosting and Fujitsu, plus WebMethods during coexistence.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7.2  Config over construction — the generic engine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 single generic MFT engine process is the only file-moving component. Each approved interface is expressed as a configuration row in the routing table: source and target endpoints, protocol, PGP key references, schedule, filename pattern, and post-actions. Onboarding a new interface adds a row; it never adds a component. This is what makes the estate governable at scale and is validated against every capability in this design.</w:t>
      </w:r>
    </w:p>
    <w:tbl>
      <w:tblPr>
        <w:tblW w:type="dxa" w:w="9026"/>
        <w:tblBorders>
          <w:top w:val="none"/>
          <w:left w:val="single" w:color="B326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CE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Design guardrail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Any requirement that cannot be expressed as configuration (e.g. bespoke content-based routing or complex per-file transformation) must be raised as a deviation to the Design Authority, with a named owner, before it is built — it is the point at which “construction” risks creeping back in.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7.3  Data flows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5A6472"/>
          <w:sz w:val="22"/>
          <w:szCs w:val="22"/>
        </w:rPr>
        <w:t xml:space="preserve">Inbound (partner → estate)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Partner pushes to (or the engine pulls from) an MFT SFTP/FTPS/AS2 endpoint at the edge; the partner is authenticated (SSH key / certificate).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file lands in a transient, encrypted managed landing zone; a file-arrival event triggers the generic engine.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engine reads the matching config row, decrypts (PGP), validates, optionally de-archives (TAR), routes/transforms, and delivers to the target system via connector.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Delivery is confirmed; the transfer, receipt and audit record are written to the control-plane tracking log.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5A6472"/>
          <w:sz w:val="22"/>
          <w:szCs w:val="22"/>
        </w:rPr>
        <w:t xml:space="preserve">Outbound (estate → partner)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 source system drops a file (or the engine polls on schedule); the engine picks up the config row.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engine encrypts (PGP/ASCII-armor as configured), optionally archives (TAR), and delivers to the partner endpoint.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 delivery receipt is captured and the audit record written; failures are retried and alerted.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7.4  Key and certificate management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SSH keys, PGP keypairs and TLS certificates are held in the platform key/certificate store and referenced by configuration. Custody, rotation and integration with an enterprise HSM/KMS are to be confirmed as a security dependency (Section 14).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7.5  Integrating MFT with the Integration Platform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MFT is not a silo: it runs inside the same Boomi platform as the Integration and API-management capabilities, and is driven by them. The two are wired together by the Boomi MFT Connector, which lets an integration process invoke MFT file-transfer flows. This means a file transfer can be triggered and orchestrated by business logic (an event or schedule), while MFT itself moves the bytes over SFTP/FTPS and records the audit trail — one platform, one governance model, one audit history.</w:t>
      </w:r>
    </w:p>
    <w:p>
      <w:pPr>
        <w:spacing w:after="40" w:before="60"/>
        <w:jc w:val="center"/>
      </w:pPr>
      <w:r>
        <w:drawing>
          <wp:inline distT="0" distB="0" distL="0" distR="0">
            <wp:extent cx="62865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2 — MFT ↔ Integration Platform: the Boomi MFT Connector (event-driven transfer, control &amp; data channels)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integration works across two distinct channels, which the design keeps separate: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Control channel — an event trigger or schedule in an integration process starts the transfer, and MFT exposes APIs the platform uses for status and reporting. This is the “orchestration &amp; reporting” path, carried over REST.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Data channels — MFT performs the actual file movement over SFTP/FTPS/AS2 to and from partner servers and cloud storage (source and target data channels), and can exchange files directly with internal file repositories (direct file exchange).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same API-management layer (Cloud API Management, and the external/internal API gateways) can front the MFT and integration APIs, so consumers and internal HoD applications reach them through governed, secured gateways rather than point-to-point. Two flow types are distinguished throughout the architecture: API executions (the runtime request/transfer path) and configurations/deployments (the control path by which the API Control Plane, Developer Portal, Integration Flow Designer and CAM push definitions to the runtimes).</w:t>
      </w:r>
    </w:p>
    <w:tbl>
      <w:tblPr>
        <w:tblW w:type="dxa" w:w="9026"/>
        <w:tblBorders>
          <w:top w:val="none"/>
          <w:left w:val="single" w:color="B326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CE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Design guardrail — integration must not become construction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Invoking MFT from an integration process is fully consistent with config over construction only while each transfer remains a configuration row consumed by the generic engine. Bespoke per-interface integration processes that embed transfer logic would re-introduce build cost and must be raised to the Design Authority with a named owner (Section 14).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8  Integration with the HMRC estate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8.1  Connectivity to estate systems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Boomi internal runtime reaches the HoD applications (hosted across AWS, Azure, Crown Hosting and Fujitsu) and integrates with MDTP and the SaaS systems (S4H, CF/MSD, Pega, CDS) through Boomi connectors (SFTP, database, JMS/queue, HTTP) from the trusted zone. Payloads remain within the boundary; only control/tracking metadata surfaces to the iPaaS platform.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8.2  WebMethods coexistence and decommission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During transition, Boomi MFT can consume from and deliver to WebMethods drop-zones, allowing interfaces to be migrated one configuration row at a time.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Each migrated interface is proven in parallel, then WebMethods is retired for that flow — a controlled, low-risk cutover with no big-bang.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There is no automated WebMethods-to-Boomi converter; migration is deliberate re-configuration against the generic engine (see gap G-12).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8.3  Onboarding model (configuration, not build)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 new transfer is onboarded by adding a configuration row to the routing table consumed by the generic engine, following a governed change with an approval gate and standards check (endpoints, protocol, key references, schedule, filename pattern, post-actions, ownership). No new Boomi component is created, preserving config-over-construction end to end. Onboarding is performed through Boomi's native MFT administration; a bespoke self-service onboarding portal is out of scope for this platform design.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8.4  Identity, monitoring and key custody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Operator/administrator access to the platform is via the enterprise IdP/SSO (to confirm); partner authentication is by SSH key / certificate.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Operational telemetry is exported via OpenTelemetry to the enterprise SIEM (e.g. Splunk).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Key material custody integrates with the enterprise HSM/KMS (to be confirmed).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9  Feature and capability matrix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 fuller, filterable version is provided as the accompanying capability &amp; gap register (Excel). Maturity: ● GA/relied-upon · ◐ available, confirm fit · ○ roadmap/validate.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2500"/>
        <w:gridCol w:w="4826"/>
        <w:gridCol w:w="1700"/>
      </w:tblGrid>
      <w:tr>
        <w:trPr>
          <w:tblHeader/>
        </w:trPr>
        <w:tc>
          <w:tcPr>
            <w:tcW w:type="dxa" w:w="25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8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used in the estate</w:t>
            </w:r>
          </w:p>
        </w:tc>
        <w:tc>
          <w:tcPr>
            <w:tcW w:type="dxa" w:w="17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Maturity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SFTP / FTPS / AS2 endpoints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Inbound/outbound with OGDs, agents, banks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● GA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Trading-partner onboarding</w:t>
            </w:r>
          </w:p>
        </w:tc>
        <w:tc>
          <w:tcPr>
            <w:tcW w:type="dxa" w:w="4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Config-driven partner/endpoint records</w:t>
            </w:r>
          </w:p>
        </w:tc>
        <w:tc>
          <w:tcPr>
            <w:tcW w:type="dxa" w:w="17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5A0A"/>
                <w:sz w:val="19"/>
                <w:szCs w:val="19"/>
              </w:rPr>
              <w:t xml:space="preserve">◐ confirm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Event-driven trigger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File arrival kicks off engine/process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● GA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Guaranteed delivery + retry</w:t>
            </w:r>
          </w:p>
        </w:tc>
        <w:tc>
          <w:tcPr>
            <w:tcW w:type="dxa" w:w="4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Resilient transfers to systems of record</w:t>
            </w:r>
          </w:p>
        </w:tc>
        <w:tc>
          <w:tcPr>
            <w:tcW w:type="dxa" w:w="17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● GA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PGP (incl. ASCII-armor)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At-rest protection of OFFICIAL payloads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● GA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TAR archive / extract</w:t>
            </w:r>
          </w:p>
        </w:tc>
        <w:tc>
          <w:tcPr>
            <w:tcW w:type="dxa" w:w="4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Bundle/unbundle batch file sets</w:t>
            </w:r>
          </w:p>
        </w:tc>
        <w:tc>
          <w:tcPr>
            <w:tcW w:type="dxa" w:w="17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● GA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Tracking &amp; audit log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Single source of truth for all transfers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● GA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Scheduling &amp; polling</w:t>
            </w:r>
          </w:p>
        </w:tc>
        <w:tc>
          <w:tcPr>
            <w:tcW w:type="dxa" w:w="4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Batch windows and source polling</w:t>
            </w:r>
          </w:p>
        </w:tc>
        <w:tc>
          <w:tcPr>
            <w:tcW w:type="dxa" w:w="17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● GA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OpenTelemetry observability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Export to enterprise SIEM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5A0A"/>
                <w:sz w:val="19"/>
                <w:szCs w:val="19"/>
              </w:rPr>
              <w:t xml:space="preserve">◐ confirm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Hybrid on-prem runtime</w:t>
            </w:r>
          </w:p>
        </w:tc>
        <w:tc>
          <w:tcPr>
            <w:tcW w:type="dxa" w:w="4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Keep OFFICIAL payload in boundary</w:t>
            </w:r>
          </w:p>
        </w:tc>
        <w:tc>
          <w:tcPr>
            <w:tcW w:type="dxa" w:w="17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5A0A"/>
                <w:sz w:val="19"/>
                <w:szCs w:val="19"/>
              </w:rPr>
              <w:t xml:space="preserve">◐ confirm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OFTP2 / AS4 / PeSIT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Only if partners require them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○ validate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Long-term audit retention</w:t>
            </w:r>
          </w:p>
        </w:tc>
        <w:tc>
          <w:tcPr>
            <w:tcW w:type="dxa" w:w="4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Beyond 12-month native default</w:t>
            </w:r>
          </w:p>
        </w:tc>
        <w:tc>
          <w:tcPr>
            <w:tcW w:type="dxa" w:w="17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○ validate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CI/CD pipeline for MFT config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Promote transfer config dev→test→prod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○ gap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Enterprise secrets / password manager</w:t>
            </w:r>
          </w:p>
        </w:tc>
        <w:tc>
          <w:tcPr>
            <w:tcW w:type="dxa" w:w="4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Source MFT/partner credentials externally</w:t>
            </w:r>
          </w:p>
        </w:tc>
        <w:tc>
          <w:tcPr>
            <w:tcW w:type="dxa" w:w="17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○ gap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10  Non-functional design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10.1  Availability &amp; resilience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runtime is deployed as a clustered Boomi Molecule for high availability and fault tolerance; the edge is fronted by a load balancer. The MFT gateway HA topology is to be confirmed (Section 14).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10.2  Disaster recovery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 secondary runtime with replicated configuration provides recovery. RTO/RPO targets are to be set with the business; the config/routing table and key material are the critical state to protect and replicate.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10.3  Scalability &amp; performance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Cloud MFT components scale elastically; runtime Atoms scale horizontally for batch peaks. The March 2026 runtime optimisations reduce redundant retry cycles and latency. High-volume batch throughput versus the incumbent WebMethods should be benchmarked (gap G-05).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10.4  Security &amp; data protection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In transit: TLS (FTPS/AS2) and SSH (SFTP). At rest: PGP; transient landing zones encrypted.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Access: RBAC on the platform; segregation of duties between config authors, approvers and operators.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Key custody: enterprise HSM/KMS integration to be confirmed.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Data residency: hybrid runtime keeps payload in the trusted boundary; control-plane region to be confirmed for OFFICIAL.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10.5  Auditability &amp; retention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Every transfer produces an immutable tracking/audit record with delivery confirmation. Native automated retention defaults (audit logs 12 months, schedule history 3 months) are likely shorter than statutory/records-management requirements; audit data must be exported to a long-term archive (gap G-02b).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10.6  Observability &amp; operations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OpenTelemetry export streams metrics, logs and traces to the enterprise SIEM; runtime heartbeat/health telemetry supports proactive monitoring and alerting on failure and SLA breach.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11  Gaps and limitations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This section is deliberately candid. Each gap is stated with its impact and a mitigation/action, so the Design Authority can accept, mitigate or challenge it rather than discover it in build.</w:t>
      </w:r>
    </w:p>
    <w:tbl>
      <w:tblPr>
        <w:tblW w:type="dxa" w:w="9026"/>
        <w:tblBorders>
          <w:top w:val="none"/>
          <w:left w:val="single" w:color="B326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CE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Headline platform drawbacks (pain points)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No native CI/CD pipeline for MFT (G-13): the platform has no built-in, MFT-config-aware pipeline. Promotion of transfer configuration dev→test→prod is UI/admin-driven, and environment-promotion is not fully automatable through the API, so a repeatable pipeline must be built externally over the AtomSphere APIs and enterprise DevOps tooling.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No native enterprise password/secrets-manager integration for MFT credentials (G-14): Boomi's Secrets Management Service is oriented to the Integration runtime and cloud vaults (e.g. Azure Key Vault); there is no documented native path to source MFT endpoint/trading-partner credentials (SFTP keys, partner passwords) from an enterprise password manager such as CyberArk PAM — they are held in the MFT store, which weakens central rotation and privileged-access governance.</w:t>
            </w:r>
          </w:p>
        </w:tc>
      </w:tr>
    </w:tbl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100"/>
        <w:gridCol w:w="3100"/>
        <w:gridCol w:w="2400"/>
        <w:gridCol w:w="2426"/>
      </w:tblGrid>
      <w:tr>
        <w:trPr>
          <w:tblHeader/>
        </w:trPr>
        <w:tc>
          <w:tcPr>
            <w:tcW w:type="dxa" w:w="11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31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/ limitation</w:t>
            </w:r>
          </w:p>
        </w:tc>
        <w:tc>
          <w:tcPr>
            <w:tcW w:type="dxa" w:w="24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4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/ action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G-01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Native MFT is post-acquisition (May 2025) and still maturing; roadmap items in flight.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Feature-parity/roadmap risk.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Confirm live GA feature set at build; track roadmap; avoid designing on roadmap-only items.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G-02a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Control plane is SaaS; data residency/assurance for OFFICIAL must be confirmed.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Assurance/compliance risk.</w:t>
            </w:r>
          </w:p>
        </w:tc>
        <w:tc>
          <w:tcPr>
            <w:tcW w:type="dxa" w:w="2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Confirm UK region; keep payload on-prem via hybrid runtime; assurance review.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G-02b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Automated audit retention default is 12 months (schedule history 3 months).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May breach statutory retention.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Export audit to long-term archive; set retention policy.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G-03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Native protocol set centres on SFTP/FTPS/AS2 (+ PEPPOL via EDI VAN); OFTP2/AS4/PeSIT not native.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Gap if partners mandate these.</w:t>
            </w:r>
          </w:p>
        </w:tc>
        <w:tc>
          <w:tcPr>
            <w:tcW w:type="dxa" w:w="2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Survey partner protocols; bridge or third-party gateway where required.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G-04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Content-based routing/transform beyond filename needs Integration processes.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“Construction” creep vs principle.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Keep such logic in the shared engine; DA deviation with named owner.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G-05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Batch throughput vs WebMethods unproven for HMRC volumes.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Performance risk at cutover.</w:t>
            </w:r>
          </w:p>
        </w:tc>
        <w:tc>
          <w:tcPr>
            <w:tcW w:type="dxa" w:w="2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Benchmark peak batch before migrating high-volume flows.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G-06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Working-day/holiday-calendar scheduling depth to confirm.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Complex windows may need external scheduler.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Validate scheduling; integrate enterprise scheduler if needed.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G-07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Non-repudiation/signed-receipt depth vs dedicated MFT (e.g. GoAnywhere) to confirm.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Compliance evidence risk.</w:t>
            </w:r>
          </w:p>
        </w:tc>
        <w:tc>
          <w:tcPr>
            <w:tcW w:type="dxa" w:w="2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Confirm receipt/NR capability against requirements.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G-08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MFT gateway HA topology (vs Atom HA) to confirm.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Availability risk at edge.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Confirm supported gateway clustering with vendor.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G-09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Enterprise HSM/KMS integration for keys to confirm.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Key-custody assurance.</w:t>
            </w:r>
          </w:p>
        </w:tc>
        <w:tc>
          <w:tcPr>
            <w:tcW w:type="dxa" w:w="2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Confirm HSM/KMS integration pattern.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G-10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SIEM integration relies on OpenTelemetry export — confirm coverage.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Monitoring completeness.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Prove OTel → Splunk coverage of MFT events.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G-12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No automated WebMethods→Boomi migration tooling.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Migration effort/time.</w:t>
            </w:r>
          </w:p>
        </w:tc>
        <w:tc>
          <w:tcPr>
            <w:tcW w:type="dxa" w:w="2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Plan deliberate re-configuration; sequence by risk.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G-13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No native CI/CD pipeline for MFT configuration; promotion dev→test→prod is UI/admin-driven and environment-promotion is not fully API-automatable.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Manual promotion; weak traceability, review and rollback.</w:t>
            </w:r>
          </w:p>
        </w:tc>
        <w:tc>
          <w:tcPr>
            <w:tcW w:type="dxa" w:w="2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Build external CI/CD over AtomSphere APIs + DevOps tooling; hold the config/routing table in Git; gated, audited promotion.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G-14</w:t>
            </w:r>
          </w:p>
        </w:tc>
        <w:tc>
          <w:tcPr>
            <w:tcW w:type="dxa" w:w="3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No documented native path to source MFT endpoint/trading-partner credentials from the enterprise password/secrets manager (e.g. CyberArk PAM). Boomi's Secrets Management Service targets the Integration runtime and cloud vaults (e.g. Azure Key Vault), not MFT partner credentials.</w:t>
            </w:r>
          </w:p>
        </w:tc>
        <w:tc>
          <w:tcPr>
            <w:tcW w:type="dxa" w:w="2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Credentials held in the MFT store; weaker central rotation and PAM governance.</w:t>
            </w:r>
          </w:p>
        </w:tc>
        <w:tc>
          <w:tcPr>
            <w:tcW w:type="dxa" w:w="24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Validate MFT credential sourcing with vendor; where unsupported, broker via Integration + secrets service or controlled vault sync; agree approach with Security.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12  Design decisions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100"/>
        <w:gridCol w:w="3300"/>
        <w:gridCol w:w="4626"/>
      </w:tblGrid>
      <w:tr>
        <w:trPr>
          <w:tblHeader/>
        </w:trPr>
        <w:tc>
          <w:tcPr>
            <w:tcW w:type="dxa" w:w="11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33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46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DD-01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Adopt Boomi native MFT (Thru) as strategic MFT.</w:t>
            </w:r>
          </w:p>
        </w:tc>
        <w:tc>
          <w:tcPr>
            <w:tcW w:type="dxa" w:w="4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Single platform/control plane; unifies API/app/file movement; reduces vendors.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DD-02</w:t>
            </w:r>
          </w:p>
        </w:tc>
        <w:tc>
          <w:tcPr>
            <w:tcW w:type="dxa" w:w="3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Single generic, config-driven MFT engine.</w:t>
            </w:r>
          </w:p>
        </w:tc>
        <w:tc>
          <w:tcPr>
            <w:tcW w:type="dxa" w:w="46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“Config over construction”; governable, uniform, cheap to scale.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DD-03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DB-backed config/routing table as single source.</w:t>
            </w:r>
          </w:p>
        </w:tc>
        <w:tc>
          <w:tcPr>
            <w:tcW w:type="dxa" w:w="4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Consumed by engine, written through the governed onboarding change; auditable and Git-versionable.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DD-04</w:t>
            </w:r>
          </w:p>
        </w:tc>
        <w:tc>
          <w:tcPr>
            <w:tcW w:type="dxa" w:w="3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Hybrid topology; MFT runtimes on-prem.</w:t>
            </w:r>
          </w:p>
        </w:tc>
        <w:tc>
          <w:tcPr>
            <w:tcW w:type="dxa" w:w="46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Keeps OFFICIAL payload in the trusted boundary.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DD-05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Gateway in DMZ; Atoms in trusted zone.</w:t>
            </w:r>
          </w:p>
        </w:tc>
        <w:tc>
          <w:tcPr>
            <w:tcW w:type="dxa" w:w="4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Standard zoning; minimises attack surface.</w:t>
            </w:r>
          </w:p>
        </w:tc>
      </w:tr>
      <w:tr>
        <w:tc>
          <w:tcPr>
            <w:tcW w:type="dxa" w:w="11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DD-06</w:t>
            </w:r>
          </w:p>
        </w:tc>
        <w:tc>
          <w:tcPr>
            <w:tcW w:type="dxa" w:w="33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PGP mandatory for OFFICIAL(-SENSITIVE) payloads.</w:t>
            </w:r>
          </w:p>
        </w:tc>
        <w:tc>
          <w:tcPr>
            <w:tcW w:type="dxa" w:w="46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Data protection at rest end to end.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DD-07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Export audit to long-term archive.</w:t>
            </w:r>
          </w:p>
        </w:tc>
        <w:tc>
          <w:tcPr>
            <w:tcW w:type="dxa" w:w="4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Native 12-month retention insufficient for statutory needs.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13  Risks, assumptions, issues, dependencies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13.1  Risks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Product maturity/roadmap dependence (G-01) could delay features relied upon.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Data-residency/assurance for OFFICIAL unresolved could block go-live (G-02a).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Throughput at HMRC batch volumes unproven (G-05).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13.2  Assumptions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 UK-region/assured control-plane option is available for OFFICIAL.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Partners predominantly support SFTP/FTPS/AS2.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Enterprise SIEM can ingest OpenTelemetry; HSM/KMS integration is feasible.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13.3  Issues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Native audit retention default (12 months) is below likely statutory requirements — open until archive design agreed.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2161C"/>
          <w:sz w:val="25"/>
          <w:szCs w:val="25"/>
        </w:rPr>
        <w:t xml:space="preserve">13.4  Dependencies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Network/firewall low-level design for DMZ and trusted-zone connectivity.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Enterprise IdP/SSO for operator access (to confirm).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Enterprise HSM/KMS for key custody.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Enterprise password/secrets manager (e.g. CyberArk) — MFT credential sourcing to validate (G-14).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External DevOps/CI-CD tooling and AtomSphere API entitlements for config promotion (G-13).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14  Open questions for the Design Authority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Each requires a named owner and decision before build.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900"/>
        <w:gridCol w:w="6400"/>
        <w:gridCol w:w="1726"/>
      </w:tblGrid>
      <w:tr>
        <w:trPr>
          <w:tblHeader/>
        </w:trPr>
        <w:tc>
          <w:tcPr>
            <w:tcW w:type="dxa" w:w="9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7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What is the confirmed GA feature set of native MFT at build time (vs roadmap)?</w:t>
            </w:r>
          </w:p>
        </w:tc>
        <w:tc>
          <w:tcPr>
            <w:tcW w:type="dxa" w:w="1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TBC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What control-plane region/assurance applies for OFFICIAL data residency?</w:t>
            </w:r>
          </w:p>
        </w:tc>
        <w:tc>
          <w:tcPr>
            <w:tcW w:type="dxa" w:w="17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TBC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How is audit exported and retained to meet statutory retention?</w:t>
            </w:r>
          </w:p>
        </w:tc>
        <w:tc>
          <w:tcPr>
            <w:tcW w:type="dxa" w:w="1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TBC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Which partner protocols beyond SFTP/FTPS/AS2 must be supported (OFTP2/AS4/PeSIT)?</w:t>
            </w:r>
          </w:p>
        </w:tc>
        <w:tc>
          <w:tcPr>
            <w:tcW w:type="dxa" w:w="17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TBC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What is the supported MFT gateway HA topology?</w:t>
            </w:r>
          </w:p>
        </w:tc>
        <w:tc>
          <w:tcPr>
            <w:tcW w:type="dxa" w:w="1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TBC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What is the HSM/KMS integration pattern for key custody?</w:t>
            </w:r>
          </w:p>
        </w:tc>
        <w:tc>
          <w:tcPr>
            <w:tcW w:type="dxa" w:w="17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TBC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How will MFT configuration be promoted dev→test→prod without a native pipeline — what CI/CD approach (AtomSphere API + DevOps) and who owns it?</w:t>
            </w:r>
          </w:p>
        </w:tc>
        <w:tc>
          <w:tcPr>
            <w:tcW w:type="dxa" w:w="1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TBC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Can MFT endpoint/partner credentials be sourced from the enterprise password/secrets manager (e.g. CyberArk), or must they live in the MFT store — and is that acceptable to Security?</w:t>
            </w:r>
          </w:p>
        </w:tc>
        <w:tc>
          <w:tcPr>
            <w:tcW w:type="dxa" w:w="17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TBC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3D9E"/>
          <w:sz w:val="30"/>
          <w:szCs w:val="30"/>
        </w:rPr>
        <w:t xml:space="preserve">15  Glossary and references</w:t>
      </w:r>
    </w:p>
    <w:tbl>
      <w:tblPr>
        <w:tblW w:type="dxa" w:w="902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26"/>
            <w:shd w:fill="003D9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MFT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Managed File Transfer — governed, secure, auditable file exchange.</w:t>
            </w:r>
          </w:p>
        </w:tc>
      </w:tr>
      <w:tr>
        <w:tc>
          <w:tcPr>
            <w:tcW w:type="dxa" w:w="22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Thru</w:t>
            </w:r>
          </w:p>
        </w:tc>
        <w:tc>
          <w:tcPr>
            <w:tcW w:type="dxa" w:w="6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MFT product acquired by Boomi (May 2025), now native to the platform.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Atom / Molecule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Boomi runtime; Molecule is the clustered (HA) form.</w:t>
            </w:r>
          </w:p>
        </w:tc>
      </w:tr>
      <w:tr>
        <w:tc>
          <w:tcPr>
            <w:tcW w:type="dxa" w:w="22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Control plane</w:t>
            </w:r>
          </w:p>
        </w:tc>
        <w:tc>
          <w:tcPr>
            <w:tcW w:type="dxa" w:w="6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Boomi-hosted management/tracking layer (SaaS).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Config over construction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Programme principle: interfaces are configuration rows, not new builds.</w:t>
            </w:r>
          </w:p>
        </w:tc>
      </w:tr>
      <w:tr>
        <w:tc>
          <w:tcPr>
            <w:tcW w:type="dxa" w:w="2200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OTel</w:t>
            </w:r>
          </w:p>
        </w:tc>
        <w:tc>
          <w:tcPr>
            <w:tcW w:type="dxa" w:w="6826"/>
            <w:shd w:fill="F4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OpenTelemetry — open standard for metrics, logs and traces.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PGP ASCII-armor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161C"/>
                <w:sz w:val="19"/>
                <w:szCs w:val="19"/>
              </w:rPr>
              <w:t xml:space="preserve">Text (.asc) encoding of PGP-encrypted content.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A6472"/>
          <w:sz w:val="18"/>
          <w:szCs w:val="18"/>
        </w:rPr>
        <w:t xml:space="preserve">Primary sources (accessed Jul 2026): </w:t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Boomi — Managed File Transfer product &amp; “What is MFT” pages; Boomi platform release notes (March 2026); Boomi product roadmap (Q2 2026); Boomi MFT documentation (MFT SFTP Server); Thru — MFT Connector for Boomi; Boomi acquisition of Thru announcement (May 2025).</w:t>
      </w:r>
    </w:p>
    <w:p>
      <w:pPr>
        <w:pBdr>
          <w:bottom w:val="single" w:color="DFE4EA" w:sz="6"/>
        </w:pBdr>
        <w:spacing w:after="12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/>
      </w:r>
    </w:p>
    <w:p>
      <w:pPr>
        <w:spacing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OFFICIAL — DRAFT for Design Authority review — v0.1 — 20 July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A6472"/>
        <w:sz w:val="16"/>
        <w:szCs w:val="16"/>
      </w:rPr>
      <w:t xml:space="preserve">OFFICIAL — SDD: MFT on Boomi (Thru)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3D9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161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A64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e34872b73fb70363ff8912bebd27f35ebbaec3.png"/><Relationship Id="rId10" Type="http://schemas.openxmlformats.org/officeDocument/2006/relationships/image" Target="media/6acde96e28328b817e9033a920882bbd297c85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— MFT on Boomi (Thru)</dc:title>
  <dc:creator>Integration Catalogue Bot</dc:creator>
  <cp:lastModifiedBy>Un-named</cp:lastModifiedBy>
  <cp:revision>1</cp:revision>
  <dcterms:created xsi:type="dcterms:W3CDTF">2026-07-21T09:22:47.069Z</dcterms:created>
  <dcterms:modified xsi:type="dcterms:W3CDTF">2026-07-21T09:22:47.085Z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