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00"/>
      </w:pPr>
      <w:r>
        <w:rPr>
          <w:rFonts w:ascii="Calibri" w:cs="Calibri" w:eastAsia="Calibri" w:hAnsi="Calibri"/>
          <w:b/>
          <w:bCs/>
          <w:color w:val="003D9E"/>
          <w:sz w:val="26"/>
          <w:szCs w:val="26"/>
        </w:rPr>
        <w:t xml:space="preserve">HMRC</w:t>
      </w:r>
    </w:p>
    <w:p>
      <w:pPr>
        <w:spacing w:after="80"/>
      </w:pPr>
      <w:r>
        <w:rPr>
          <w:rFonts w:ascii="Calibri" w:cs="Calibri" w:eastAsia="Calibri" w:hAnsi="Calibri"/>
          <w:color w:val="3D4653"/>
          <w:sz w:val="22"/>
          <w:szCs w:val="22"/>
        </w:rPr>
        <w:t xml:space="preserve">Integration Platform Programme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723"/>
          <w:sz w:val="60"/>
          <w:szCs w:val="60"/>
        </w:rPr>
        <w:t xml:space="preserve">Intelligrator</w:t>
      </w:r>
    </w:p>
    <w:p>
      <w:pPr>
        <w:spacing w:after="300"/>
      </w:pPr>
      <w:r>
        <w:rPr>
          <w:rFonts w:ascii="Calibri" w:cs="Calibri" w:eastAsia="Calibri" w:hAnsi="Calibri"/>
          <w:color w:val="3D4653"/>
          <w:sz w:val="30"/>
          <w:szCs w:val="30"/>
        </w:rPr>
        <w:t xml:space="preserve">Phased Productionisation Plan</w:t>
      </w:r>
    </w:p>
    <w:p>
      <w:pPr>
        <w:pBdr>
          <w:top w:val="single" w:color="003D9E" w:sz="8"/>
        </w:pBdr>
        <w:spacing w:after="3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Version 2.1   |   15 July 2026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30 weeks · 7 phases · week 1 began Monday 13 Jul 2026 · MVP live at week 5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Boomi iPaaS · Boomi native MFT (Thru) · Boomi API Management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66 user stories  ·  389 story points  ·  287 acceptance criteria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Intelligrator is productionised in six phases over sixty weeks, with a working MVP live at week 14.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Phase 0 builds the spine and ships nothing user-facing — deliberately. Phase 1 proves the hypothesis the product exists to test: a user with no Boomi knowledge signs in with a username and password, submits a Managed File Transfer request, an administrator accepts or rejects it, and an approved request is built and provisioned automatically. Phase 2 performs the same trick for APIs — an uploaded OpenAPI specification becomes a live, secured, rate-limited endpoint, and several published APIs can be composed into a mashup without anyone writing a Boomi process. Phase 3 replaces the MVP's local login with enterprise single sign-on and adds the controls an auditor will actually test. Phase 4 extends the same front door to event streaming. Phase 5 turns the portal on the legacy estate and industrialises the migration off it.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The rule that holds across every phase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An approved request becomes a CONFIGURATION ROW executed by one generic engine. Whether it is a file transfer, an API, a mashup or an event stream, it never generates a new Boomi component per interface. Every phase in this plan is designed to preserve that. If a phase appears to breach it, it has been misread — and should be challenged.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The one thing not to compromise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The MVP must include the build automation, not merely the request form. A portal that captures a request and then hands a spreadsheet to the platform team is a prettier ticket queue, and the business case for Intelligrator is not prettier tickets — it is lead time and the removal of per-interface build. Cut scope from the form (fewer protocols, SFTP only) before you cut it from the automation.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Plan on a page</w:t>
      </w:r>
    </w:p>
    <w:p>
      <w:pPr>
        <w:spacing w:after="200"/>
        <w:jc w:val="center"/>
      </w:pPr>
      <w:r>
        <w:drawing>
          <wp:inline distT="0" distB="0" distL="0" distR="0">
            <wp:extent cx="6096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700"/>
        <w:gridCol w:w="2500"/>
        <w:gridCol w:w="1000"/>
        <w:gridCol w:w="3760"/>
        <w:gridCol w:w="700"/>
        <w:gridCol w:w="700"/>
      </w:tblGrid>
      <w:tr>
        <w:trPr>
          <w:tblHeader/>
        </w:trPr>
        <w:tc>
          <w:tcPr>
            <w:tcW w:type="dxa" w:w="7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0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376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Ships</w:t>
            </w:r>
          </w:p>
        </w:tc>
        <w:tc>
          <w:tcPr>
            <w:tcW w:type="dxa" w:w="7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7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700"/>
            <w:shd w:fill="5A647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W1–W2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Build the spine that every later phase sits on.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shd w:fill="0B5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MVP — MFT Self-Service + 2FA Access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W3–W5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 user signs in with a username, password and a second factor, submits a Managed File Transfer request, an admin accepts or rejects it, and an approved request is provisioned automatically with no human touching Boomi..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33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161</w:t>
            </w:r>
          </w:p>
        </w:tc>
      </w:tr>
      <w:tr>
        <w:tc>
          <w:tcPr>
            <w:tcW w:type="dxa" w:w="700"/>
            <w:shd w:fill="0F7A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API Onboarding &amp; Build (Simple)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W6–W9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 user uploads an OpenAPI specification, the platform validates it, and builds and deploys a live, secured, rate-limited API automatically — with no developer writing a Boomi process.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11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76</w:t>
            </w:r>
          </w:p>
        </w:tc>
      </w:tr>
      <w:tr>
        <w:tc>
          <w:tcPr>
            <w:tcW w:type="dxa" w:w="700"/>
            <w:shd w:fill="7A3DB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P3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API Mashup &amp; Composition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W10–W15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 user composes several published APIs into a single composite API — sequence, parallel fan-out/fan-in, field mapping and response shaping — executed by one generic orchestration engine, with no bespoke Boomi process per mashup..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29</w:t>
            </w:r>
          </w:p>
        </w:tc>
      </w:tr>
      <w:tr>
        <w:tc>
          <w:tcPr>
            <w:tcW w:type="dxa" w:w="700"/>
            <w:shd w:fill="B5761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P4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Enterprise SSO, Governance &amp; Scale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W14–W19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Replace the MVP's local login with enterprise SSO, add step-up MFA at the moment of decision, and stand up the controls an auditor will actually test — running as a parallel identity-and-governance track from around the three-month mark, overlapping the tail of the mashup build..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44</w:t>
            </w:r>
          </w:p>
        </w:tc>
      </w:tr>
      <w:tr>
        <w:tc>
          <w:tcPr>
            <w:tcW w:type="dxa" w:w="700"/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P5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Event-Driven Onboarding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W20–W24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Extend the same front door to event streaming: AsyncAPI contracts, a browsable event catalogue, and a schema registry that refuses an incompatible change..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700"/>
            <w:shd w:fill="B3261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P6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Optimise, Automate &amp; Retire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W25–W30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Make the estate self-maintaining, make its cost visible, and use the portal to industrialise the migration off the legacy integration estate..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45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Milestones — written as tests, not as deliverables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A milestone you cannot fail is not a milestone. Each of these is phrased so that a steering group can watch it pass or fail in a demonstration.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600"/>
        <w:gridCol w:w="700"/>
        <w:gridCol w:w="2600"/>
        <w:gridCol w:w="5460"/>
      </w:tblGrid>
      <w:tr>
        <w:trPr>
          <w:tblHeader/>
        </w:trPr>
        <w:tc>
          <w:tcPr>
            <w:tcW w:type="dxa" w:w="6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60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5460"/>
            <w:shd w:fill="0F17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 test it must pass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M0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W2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Foundations ready</w:t>
            </w:r>
          </w:p>
        </w:tc>
        <w:tc>
          <w:tcPr>
            <w:tcW w:type="dxa" w:w="5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 hand-inserted config row moves a file end-to-end. No Boomi component created.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M1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MVP live — MFT + 2FA</w:t>
            </w:r>
          </w:p>
        </w:tc>
        <w:tc>
          <w:tcPr>
            <w:tcW w:type="dxa" w:w="5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 non-Boomi user self-serves a live SFTP interface, behind a two-factor login. Approval provisions it automatically.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M2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Simple API build live</w:t>
            </w:r>
          </w:p>
        </w:tc>
        <w:tc>
          <w:tcPr>
            <w:tcW w:type="dxa" w:w="5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An uploaded OpenAPI file becomes a live, secured, rate-limited API with no manual Boomi work.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M3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W15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First mashup in production</w:t>
            </w:r>
          </w:p>
        </w:tc>
        <w:tc>
          <w:tcPr>
            <w:tcW w:type="dxa" w:w="5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Three published APIs composed into one composite. Boomi component count unchanged.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M4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W19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SSO cutover · governance live</w:t>
            </w:r>
          </w:p>
        </w:tc>
        <w:tc>
          <w:tcPr>
            <w:tcW w:type="dxa" w:w="5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Local login switched off. Full pre-check engine and step-up MFA live. WCAG 2.2 AA passed.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M5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W24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Event-driven onboarding</w:t>
            </w:r>
          </w:p>
        </w:tc>
        <w:tc>
          <w:tcPr>
            <w:tcW w:type="dxa" w:w="5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Publisher and subscriber onboarded through the portal. Incompatible schema rejected at submission.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M6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W30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Migration engine live</w:t>
            </w:r>
          </w:p>
        </w:tc>
        <w:tc>
          <w:tcPr>
            <w:tcW w:type="dxa" w:w="5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 legacy inventory bulk-onboarded through the same controls. Dormant tail shrinking.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Principles no phase may break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Config over construction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An approved request becomes a row in the config store, consumed by one generic MFT engine process (and one generic API gateway policy set). It does not generate a new Boomi component per interface. Every story below must preserve this.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Contract-first, not sync-by-default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"API-First" means the contract comes first — OpenAPI for synchronous, AsyncAPI for event-driven. Consumer count is not the axis for choosing sync vs async. Availability, response-time budget, reliability and NFRs are.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No async disguised as sync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The guided selection wizard (REQ-02) must actively detect and flag the anti-pattern where a long-running or unreliable back-end is exposed behind a blocking synchronous call.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Segregation of duties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A requester can never approve their own request. This is a hard platform rule, not a policy hope (DEC-06).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The portal is a front door, not a runtime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Intelligrator provisions and governs. It does not sit in the data path. File payloads and API traffic never traverse the portal.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P0 — Foundations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100"/>
        <w:gridCol w:w="1900"/>
        <w:gridCol w:w="1000"/>
        <w:gridCol w:w="2360"/>
        <w:gridCol w:w="1000"/>
        <w:gridCol w:w="2000"/>
      </w:tblGrid>
      <w:tr>
        <w:tc>
          <w:tcPr>
            <w:tcW w:type="dxa" w:w="11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Timing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W1–W2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Theme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Platform enablement · 2 weeks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Stories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Technical enablers</w:t>
            </w:r>
          </w:p>
        </w:tc>
      </w:tr>
    </w:tbl>
    <w:p>
      <w:pPr>
        <w:pBdr>
          <w:left w:val="single" w:color="5A6472" w:sz="12" w:space="8"/>
        </w:pBdr>
        <w:spacing w:after="140" w:before="160"/>
        <w:ind w:left="22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Goal.  </w:t>
      </w: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Build the spine that every later phase sits on. Nothing user-facing ships in this phase — and that is the point. Two weeks, the platform lane only.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MFT configuration schema designed and versioned — and designed for all three pattern families (file, API, event), even though only file is implemented now.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The single generic Boomi MFT engine process hardened, parameterised and deployed to every environment.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Secrets store (vault) integrated — no credential ever lands in the portal database.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Append-only audit store stood 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Environments (DEV / TEST / PRE-PROD / PROD) and the CI/CD pipeline that promotes configuration, not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Pluggable authentication abstraction — so that swapping local login + 2FA for enterprise SSO in Phase 4 is a configuration change, not a rebuild.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Explicitly not in this phase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Any portal UI. Any request form. Any approval workflow.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The automation that builds it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7A8493"/>
          <w:sz w:val="19"/>
          <w:szCs w:val="19"/>
        </w:rPr>
        <w:t xml:space="preserve">This is the part that makes Intelligrator a product rather than a form. Everything below happens without a human opening Boomi.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Pipeline that promotes a config row between environments with approval gates.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Automated deployment of the generic engine to every Atom / environment.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Schema-migration tooling so the config table can be extended without downtime.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Exit criteria — how you know it is done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 config row inserted by hand causes the generic engine to run a file transfer end-to-end, with no Boomi component created.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 secret written to the vault is retrievable by the engine and by nothing else.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The audit store rejects an update or a delete.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Authentication can be switched between two providers by configuration alone.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6. P1 — MVP — MFT Self-Service + 2FA Access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100"/>
        <w:gridCol w:w="1900"/>
        <w:gridCol w:w="1000"/>
        <w:gridCol w:w="2360"/>
        <w:gridCol w:w="1000"/>
        <w:gridCol w:w="2000"/>
      </w:tblGrid>
      <w:tr>
        <w:tc>
          <w:tcPr>
            <w:tcW w:type="dxa" w:w="11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Timing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W3–W5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Theme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The one that proves it · 3 weeks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Stories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33  (161 pts)</w:t>
            </w:r>
          </w:p>
        </w:tc>
      </w:tr>
    </w:tbl>
    <w:p>
      <w:pPr>
        <w:pBdr>
          <w:left w:val="single" w:color="0B5FFF" w:sz="12" w:space="8"/>
        </w:pBdr>
        <w:spacing w:after="140" w:before="160"/>
        <w:ind w:left="22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Goal.  </w:t>
      </w: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 user signs in with a username, password and a second factor, submits a Managed File Transfer request, an admin accepts or rejects it, and an approved request is provisioned automatically with no human touching Boomi.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Local username-and-password authentication with self-registration and admin account approval.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Two-factor authentication (TOTP) stood up on every sign-in, with recovery codes.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The full MFT request form: identity, endpoints, file characteristics, trigger, security, classification, resilience, environment.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Draft, submit, track, withdraw. Respond to a request for information.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Admin approval queue with basic pre-checks (naming standard, duplicate detection, credential validity).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Accept, reject with reason code, or return for more information. Segregation of duties enforced server-side.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The build automation: approval writes ONE config row, the generic engine picks it up, the endpoint is provisioned, credentials are issued into the vault, and a smoke test runs.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Explicitly not in this phase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Enterprise SSO and step-up-at-decision MFA — Phase 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Anything API. Anything event-driven.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Conditional approval, delegation, fast-path, reporting dashboards.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The automation that builds it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7A8493"/>
          <w:sz w:val="19"/>
          <w:szCs w:val="19"/>
        </w:rPr>
        <w:t xml:space="preserve">This is the part that makes Intelligrator a product rather than a form. Everything below happens without a human opening Boomi.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Approve → config row written, keyed to the request reference.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Partner endpoint / virtual user created via the Boomi MFT (Thru) management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SSH keys or certificates generated in the vault and delivered by a one-time, re-authenticated reveal.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Connectivity smoke test executed; result recorded against the interface.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Rollback of partial configuration on any provisioning failure.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Exit criteria — how you know it is done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 requester who has never used Boomi onboards a working SFTP interface without raising a ticket.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Two-factor authentication is enforced on every sign-in; a password alone does not admit anyone.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End-to-end lead time from submission to Live is under the agreed target, measured, not asserted.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Zero new Boomi components created per interface, verified by component count across ten onboardings.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No requester can approve their own request, proven by a direct API call that is rejected.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Backlog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900"/>
        <w:gridCol w:w="5300"/>
        <w:gridCol w:w="1560"/>
        <w:gridCol w:w="900"/>
        <w:gridCol w:w="700"/>
      </w:tblGrid>
      <w:tr>
        <w:trPr>
          <w:tblHeader/>
        </w:trPr>
        <w:tc>
          <w:tcPr>
            <w:tcW w:type="dxa" w:w="900"/>
            <w:shd w:fill="0B5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0B5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60"/>
            <w:shd w:fill="0B5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900"/>
            <w:shd w:fill="0B5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700"/>
            <w:shd w:fill="0B5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ACC-01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Discover the portal and understand what it is for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ACC-03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Role-based landing dashboard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ACC-04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Organisation and service-line context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ACC-05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Secure session handling and sign-out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REQ-01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Choose the request type: MFT or API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REQ-03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Save a draft and resume later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MFT-01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Capture MFT interface identity and ownership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MFT-02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Define source and target endpoints and transfer direction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MFT-03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Specify file characteristics and volumetrics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MFT-04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Specify the trigger: event-driven, polled or scheduled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MFT-05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Declare security: keys, certificates, encryption and allow-listing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MFT-06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Declare data classification and residency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MFT-07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Configure error handling, retries and alert routing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MFT-08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Select environments and promotion path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MFT-09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Review the generated config row before submitting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MFT-10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Submit the MFT request for approval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TRK-01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Track the status of my requests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TRK-02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Be notified when a decision or query is raised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TRK-03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Respond to a request for more information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TRK-05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Withdraw a request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ADM-02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Work an approval queue prioritised by risk and SLA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ADM-03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Open a request and see the complete submission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DEC-01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Approve a request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DEC-02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Reject a request with a reason the requester can act on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DEC-03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Return a request for more information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DEC-06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Enforce segregation of duties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PRV-01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Approval writes a configuration row — not a new component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Platform Engineer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PRV-02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Issue credentials securely on approval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PRV-03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See provisioning succeed or fail, and roll back cleanly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AUD-01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Maintain an immutable audit trail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ACC-06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Sign in with a username and password (MVP authentication)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ACC-07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Register an account and have it approved by an administrator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ACC-08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Complete two-factor authentication at sign-in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7. P2 — API Onboarding &amp; Build (Simple)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100"/>
        <w:gridCol w:w="1900"/>
        <w:gridCol w:w="1000"/>
        <w:gridCol w:w="2360"/>
        <w:gridCol w:w="1000"/>
        <w:gridCol w:w="2000"/>
      </w:tblGrid>
      <w:tr>
        <w:tc>
          <w:tcPr>
            <w:tcW w:type="dxa" w:w="11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Timing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W6–W9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Theme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Contract in, API out · 4 weeks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Stories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11  (76 pts)</w:t>
            </w:r>
          </w:p>
        </w:tc>
      </w:tr>
    </w:tbl>
    <w:p>
      <w:pPr>
        <w:pBdr>
          <w:left w:val="single" w:color="0F7A5A" w:sz="12" w:space="8"/>
        </w:pBdr>
        <w:spacing w:after="140" w:before="160"/>
        <w:ind w:left="22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Goal.  </w:t>
      </w: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 user uploads an OpenAPI specification, the platform validates it, and builds and deploys a live, secured, rate-limited API automatically — with no developer writing a Boomi process. Composition comes next, in Phase 3.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API request form: identity, contract-first upload (OpenAPI 3.x), interaction style, auth model, traffic profile, routing.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Contract linting against the departmental API standards ruleset, errors anchored to the offending 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Automated build: the API proxy, its operations and its gateway policies are generated from the contract and deployed.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Sandbox: a mock generated from the contract so the requester can test before submitting.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Consumer self-service: browse the catalogue, subscribe to a published API, request credentials.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The guided pattern-selection wizard, including detection of async-disguised-as-sync.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Explicitly not in this phase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Mashup / composite APIs — Phase 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AsyncAPI and event-driven onboarding — Phase 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Enterprise SSO — Phase 4.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The automation that builds it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7A8493"/>
          <w:sz w:val="19"/>
          <w:szCs w:val="19"/>
        </w:rPr>
        <w:t xml:space="preserve">This is the part that makes Intelligrator a product rather than a form. Everything below happens without a human opening Boomi.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OpenAPI document → API proxy definition → gateway deployment, per environment, from one named policy bundle.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Mock service generated from the same contract for the sandbox.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Contract diff on republish: a breaking change blocks the deploy.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Consumer credentials issued into the vault and delivered by one-time reveal.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Exit criteria — how you know it is done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 OpenAPI file uploaded by a non-developer becomes a live, secured, rate-limited API in the sandbox with no manual Boomi work.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 breaking change to a published contract is detected and blocked before deployment.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No per-API bespoke component is created — the build is contract plus named policy bundle.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Backlog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900"/>
        <w:gridCol w:w="5300"/>
        <w:gridCol w:w="1560"/>
        <w:gridCol w:w="900"/>
        <w:gridCol w:w="700"/>
      </w:tblGrid>
      <w:tr>
        <w:trPr>
          <w:tblHeader/>
        </w:trPr>
        <w:tc>
          <w:tcPr>
            <w:tcW w:type="dxa" w:w="900"/>
            <w:shd w:fill="0F7A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0F7A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60"/>
            <w:shd w:fill="0F7A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900"/>
            <w:shd w:fill="0F7A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700"/>
            <w:shd w:fill="0F7A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REQ-02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Guided pattern selection with anti-pattern detection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API-01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Capture API identity, ownership and consumer intent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API-02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Provide the contract first — OpenAPI or AsyncAPI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API-03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Declare the interaction style with NFR-driven justification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API-04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Define the authentication and authorisation model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API-05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Declare traffic profile, rate limits and service levels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API-06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Select environment, routing and gateway policy set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API-07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Review and submit the API request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API-08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Build and deploy my API automatically from the uploaded contract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API-09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Test my API in a sandbox before I submit it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API-13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Discover and subscribe to a published API as a consumer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8. P3 — API Mashup &amp; Composition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100"/>
        <w:gridCol w:w="1900"/>
        <w:gridCol w:w="1000"/>
        <w:gridCol w:w="2360"/>
        <w:gridCol w:w="1000"/>
        <w:gridCol w:w="2000"/>
      </w:tblGrid>
      <w:tr>
        <w:tc>
          <w:tcPr>
            <w:tcW w:type="dxa" w:w="11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Timing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W10–W15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Theme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Where the principle is tested · 6 weeks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Stories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  (29 pts)</w:t>
            </w:r>
          </w:p>
        </w:tc>
      </w:tr>
    </w:tbl>
    <w:p>
      <w:pPr>
        <w:pBdr>
          <w:left w:val="single" w:color="7A3DB8" w:sz="12" w:space="8"/>
        </w:pBdr>
        <w:spacing w:after="140" w:before="160"/>
        <w:ind w:left="22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Goal.  </w:t>
      </w: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A user composes several published APIs into a single composite API — sequence, parallel fan-out/fan-in, field mapping and response shaping — executed by one generic orchestration engine, with no bespoke Boomi process per mashup.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Mashup / composite composer: select two or more published APIs the user is entitled to consume.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Declarative composition: arrange calls in sequence, in parallel (fan-out / fan-in), or conditionally — no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Field binding: pass a field from an earlier response into a later call.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Per-step failure behaviour: fail the composite, return a documented degraded response, or apply a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Response mapping and shaping from a governed transformation library — no arbitrary scripting.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The composite OpenAPI contract generated automatically and linted like any other.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API versioning, deprecation and retirement without breaking existing consumers.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Explicitly not in this phase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Event-driven onboarding — Phase 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Enterprise SSO — Phase 4.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The automation that builds it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7A8493"/>
          <w:sz w:val="19"/>
          <w:szCs w:val="19"/>
        </w:rPr>
        <w:t xml:space="preserve">This is the part that makes Intelligrator a product rather than a form. Everything below happens without a human opening Boomi.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Composition specification (a declarative document, not code) executed by ONE generic orchestration engine — the same discipline as the MFT engine.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Composite OpenAPI generated from the composition and linted automatically.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Version diff and breaking-change detection on every republish.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Exit criteria — how you know it is done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 mashup of three published APIs is composed, tested and published — and inspection of Boomi shows no new per-mashup process.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 request for an arbitrary script inside a mashup is refused and routed to extend the governed transform library instead.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 breaking change to a published contract forces a new major version rather than an overwrite.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Backlog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900"/>
        <w:gridCol w:w="5300"/>
        <w:gridCol w:w="1560"/>
        <w:gridCol w:w="900"/>
        <w:gridCol w:w="700"/>
      </w:tblGrid>
      <w:tr>
        <w:trPr>
          <w:tblHeader/>
        </w:trPr>
        <w:tc>
          <w:tcPr>
            <w:tcW w:type="dxa" w:w="900"/>
            <w:shd w:fill="7A3DB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7A3DB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60"/>
            <w:shd w:fill="7A3DB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900"/>
            <w:shd w:fill="7A3DB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700"/>
            <w:shd w:fill="7A3DB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API-10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Compose a mashup of published APIs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API-11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Map and shape the composite response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API-12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Version, deprecate and retire a published API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9. P4 — Enterprise SSO, Governance &amp; Scale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100"/>
        <w:gridCol w:w="1900"/>
        <w:gridCol w:w="1000"/>
        <w:gridCol w:w="2360"/>
        <w:gridCol w:w="1000"/>
        <w:gridCol w:w="2000"/>
      </w:tblGrid>
      <w:tr>
        <w:tc>
          <w:tcPr>
            <w:tcW w:type="dxa" w:w="11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Timing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W14–W19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Theme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Production-grade · starts ~3 months out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Stories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9  (44 pts)</w:t>
            </w:r>
          </w:p>
        </w:tc>
      </w:tr>
    </w:tbl>
    <w:p>
      <w:pPr>
        <w:pBdr>
          <w:left w:val="single" w:color="B5761B" w:sz="12" w:space="8"/>
        </w:pBdr>
        <w:spacing w:after="140" w:before="160"/>
        <w:ind w:left="22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Goal.  </w:t>
      </w: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Replace the MVP's local login with enterprise SSO, add step-up MFA at the moment of decision, and stand up the controls an auditor will actually test — running as a parallel identity-and-governance track from around the three-month mark, overlapping the tail of the mashup build.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Enterprise SSO (OIDC / SAML) via the pluggable auth layer built in Phase 0. Local accounts migrated and retired.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Step-up multi-factor authentication at the moment of decision — beyond the MVP's sign-in 2FA.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The full automated pre-check engine: credential strength and expiry, classification-versus-protocol, capacity thresholds, IP allow-list validity, contract lint, anti-pattern flags.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Conditional approval with tracked conditions, delegation and reassignment, and fast-path batch approval for low-risk non-production requests.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Reporting: throughput, time-to-decision against SLA, rejection reason codes ranked by frequency.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Accessibility to WCAG 2.2 AA. Performance and availability against the agreed SLO.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Explicitly not in this phase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Event-driven onboarding — Phase 5.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The automation that builds it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7A8493"/>
          <w:sz w:val="19"/>
          <w:szCs w:val="19"/>
        </w:rPr>
        <w:t xml:space="preserve">This is the part that makes Intelligrator a product rather than a form. Everything below happens without a human opening Boomi.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Automated migration of local accounts to SSO identities with no re-registration.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Pre-check engine runs on submission; the approver sees a pass/warn/fail panel before opening the request.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Condition-monitoring job escalates a conditional approval whose condition passes its due date unmet.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Exit criteria — how you know it is done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Local username-and-password authentication is switched off entirely.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 auditor can be shown, for any live interface, who approved it, when, on what basis, and the state of every pre-check at that moment.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The service passes an independent WCAG 2.2 AA assessment.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Backlog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900"/>
        <w:gridCol w:w="5300"/>
        <w:gridCol w:w="1560"/>
        <w:gridCol w:w="900"/>
        <w:gridCol w:w="700"/>
      </w:tblGrid>
      <w:tr>
        <w:trPr>
          <w:tblHeader/>
        </w:trPr>
        <w:tc>
          <w:tcPr>
            <w:tcW w:type="dxa" w:w="900"/>
            <w:shd w:fill="B5761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B5761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60"/>
            <w:shd w:fill="B5761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900"/>
            <w:shd w:fill="B5761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700"/>
            <w:shd w:fill="B5761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ACC-02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Sign in with departmental single sign-on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ADM-01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Sign in as an administrator with step-up authentication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ADM-04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See the automated pre-check results before deciding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DEC-04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Approve conditionally, with binding conditions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DEC-05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Reassign or delegate a request to another approver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DEC-07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Fast-path approval for low-risk requests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AUD-02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Report on throughput, SLA and rejection reasons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NFR-01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Meet accessibility standards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All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NFR-02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Meet performance and availability targets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All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10. P5 — Event-Driven Onboarding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100"/>
        <w:gridCol w:w="1900"/>
        <w:gridCol w:w="1000"/>
        <w:gridCol w:w="2360"/>
        <w:gridCol w:w="1000"/>
        <w:gridCol w:w="2000"/>
      </w:tblGrid>
      <w:tr>
        <w:tc>
          <w:tcPr>
            <w:tcW w:type="dxa" w:w="11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Timing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W20–W24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Theme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The third pattern family · 5 weeks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Stories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4  (34 pts)</w:t>
            </w:r>
          </w:p>
        </w:tc>
      </w:tr>
    </w:tbl>
    <w:p>
      <w:pPr>
        <w:pBdr>
          <w:left w:val="single" w:color="C2410C" w:sz="12" w:space="8"/>
        </w:pBdr>
        <w:spacing w:after="140" w:before="160"/>
        <w:ind w:left="22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Goal.  </w:t>
      </w: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Extend the same front door to event streaming: AsyncAPI contracts, a browsable event catalogue, and a schema registry that refuses an incompatible change.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AsyncAPI contract upload, linting and publication.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Publisher onboarding: declare a topic, its event schema and its retention.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Subscriber onboarding: browse the event catalogue, subscribe to a topic, receive credentials.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Schema registry with forward and backward compatibility enforcement.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Explicitly not in this phase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Stream processing / transformation logic — that remains a build activity, not a self-service one.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The automation that builds it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7A8493"/>
          <w:sz w:val="19"/>
          <w:szCs w:val="19"/>
        </w:rPr>
        <w:t xml:space="preserve">This is the part that makes Intelligrator a product rather than a form. Everything below happens without a human opening Boomi.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Topic, ACL and consumer group provisioned from the approved request as configuration.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Schema registered and compatibility-checked automatically; an incompatible change is rejected at submission, not at runtime.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Exit criteria — how you know it is done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 publisher and a subscriber are onboarded to a new topic entirely through the portal.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An incompatible schema change is rejected before it can reach an environment.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Backlog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900"/>
        <w:gridCol w:w="5300"/>
        <w:gridCol w:w="1560"/>
        <w:gridCol w:w="900"/>
        <w:gridCol w:w="700"/>
      </w:tblGrid>
      <w:tr>
        <w:trPr>
          <w:tblHeader/>
        </w:trPr>
        <w:tc>
          <w:tcPr>
            <w:tcW w:type="dxa" w:w="900"/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60"/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900"/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700"/>
            <w:shd w:fill="C2410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EVT-01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Onboard an event-driven interface with an AsyncAPI contract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EVT-02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Browse the event catalogue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EVT-03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Enforce schema compatibility through a registry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Platform Engineer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EVT-04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Approve event interfaces with event-specific pre-checks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11. P6 — Optimise, Automate &amp; Retire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1100"/>
        <w:gridCol w:w="1900"/>
        <w:gridCol w:w="1000"/>
        <w:gridCol w:w="2360"/>
        <w:gridCol w:w="1000"/>
        <w:gridCol w:w="2000"/>
      </w:tblGrid>
      <w:tr>
        <w:tc>
          <w:tcPr>
            <w:tcW w:type="dxa" w:w="11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Timing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W25–W30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Theme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Retire the legacy tail · 6 weeks</w:t>
            </w:r>
          </w:p>
        </w:tc>
        <w:tc>
          <w:tcPr>
            <w:tcW w:type="dxa" w:w="1000"/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D4653"/>
                <w:sz w:val="19"/>
                <w:szCs w:val="19"/>
              </w:rPr>
              <w:t xml:space="preserve">Stories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6  (45 pts)</w:t>
            </w:r>
          </w:p>
        </w:tc>
      </w:tr>
    </w:tbl>
    <w:p>
      <w:pPr>
        <w:pBdr>
          <w:left w:val="single" w:color="B3261E" w:sz="12" w:space="8"/>
        </w:pBdr>
        <w:spacing w:after="140" w:before="160"/>
        <w:ind w:left="220"/>
      </w:pPr>
      <w:r>
        <w:rPr>
          <w:rFonts w:ascii="Calibri" w:cs="Calibri" w:eastAsia="Calibri" w:hAnsi="Calibri"/>
          <w:b/>
          <w:bCs/>
          <w:color w:val="0F1723"/>
          <w:sz w:val="21"/>
          <w:szCs w:val="21"/>
        </w:rPr>
        <w:t xml:space="preserve">Goal.  </w:t>
      </w:r>
      <w:r>
        <w:rPr>
          <w:rFonts w:ascii="Calibri" w:cs="Calibri" w:eastAsia="Calibri" w:hAnsi="Calibri"/>
          <w:i/>
          <w:iCs/>
          <w:color w:val="1C2430"/>
          <w:sz w:val="21"/>
          <w:szCs w:val="21"/>
        </w:rPr>
        <w:t xml:space="preserve">Make the estate self-maintaining, make its cost visible, and use the portal to industrialise the migration off the legacy integration estate.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Interface health and usage dashboards for owners — not just for the platform team.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Cost transparency and chargeback by service line, so that volume has an owner.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Dormancy detection and automated recertification: an interface nobody uses and nobody will vouch for is retired.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Bulk onboarding: import a legacy interface inventory and generate config rows in batch.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Change and decommission requests against live interfaces, with field-level diff for the approver.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Explicitly not in this phase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Retirement of the legacy platform itself — a programme activity this phase enables but does not own.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The automation that builds it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7A8493"/>
          <w:sz w:val="19"/>
          <w:szCs w:val="19"/>
        </w:rPr>
        <w:t xml:space="preserve">This is the part that makes Intelligrator a product rather than a form. Everything below happens without a human opening Boomi.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Dormancy job flags an unused interface, prompts the owner, and retires it on non-response — config row disabled, never deleted.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Bulk import validates a legacy inventory and generates config rows for approval in batch rather than one at a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Chargeback report generated automatically from actual transfer and call volumes.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Exit criteria — how you know it is done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Every live interface has a named, currently-verified owner.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A legacy inventory can be migrated in batch through the same approval controls as a single request.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D4653"/>
          <w:sz w:val="20"/>
          <w:szCs w:val="20"/>
        </w:rPr>
        <w:t xml:space="preserve">The dormant tail of the estate is measurably shrinking, not growing.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Backlog</w:t>
      </w:r>
    </w:p>
    <w:tbl>
      <w:tblPr>
        <w:tblW w:type="dxa" w:w="9360"/>
        <w:tblBorders>
          <w:top w:val="single" w:color="DFE4EA" w:sz="2"/>
          <w:left w:val="single" w:color="DFE4EA" w:sz="2"/>
          <w:bottom w:val="single" w:color="DFE4EA" w:sz="2"/>
          <w:right w:val="single" w:color="DFE4EA" w:sz="2"/>
          <w:insideH w:val="single" w:color="DFE4EA" w:sz="2"/>
          <w:insideV w:val="single" w:color="DFE4EA" w:sz="2"/>
        </w:tblBorders>
      </w:tblPr>
      <w:tblGrid>
        <w:gridCol w:w="900"/>
        <w:gridCol w:w="5300"/>
        <w:gridCol w:w="1560"/>
        <w:gridCol w:w="900"/>
        <w:gridCol w:w="700"/>
      </w:tblGrid>
      <w:tr>
        <w:trPr>
          <w:tblHeader/>
        </w:trPr>
        <w:tc>
          <w:tcPr>
            <w:tcW w:type="dxa" w:w="900"/>
            <w:shd w:fill="B3261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0"/>
            <w:shd w:fill="B3261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60"/>
            <w:shd w:fill="B3261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900"/>
            <w:shd w:fill="B3261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700"/>
            <w:shd w:fill="B3261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TRK-04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Amend a rejected request and resubmit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TRK-06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Request a change or decommission of a live interface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OPS-01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See the health and usage of the interfaces I own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Standard User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OPS-02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Make the cost of the estate visible by service line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Could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OPS-03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Detect dormancy and force recertification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MFT Admin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3D9E"/>
                <w:sz w:val="19"/>
                <w:szCs w:val="19"/>
              </w:rPr>
              <w:t xml:space="preserve">OPS-04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Bulk-onboard a legacy interface inventory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Platform Engineer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D4653"/>
                <w:sz w:val="19"/>
                <w:szCs w:val="19"/>
              </w:rPr>
              <w:t xml:space="preserve">13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12. Challenges and responses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Deliberate challenges to this plan, with a recommended position on each. These need a named owner before Phase 0 starts, not at a gate review.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8F1D17"/>
          <w:sz w:val="21"/>
          <w:szCs w:val="21"/>
        </w:rPr>
        <w:t xml:space="preserve">Challenge: Username, password and 2FA in the MVP, for a tax authority. Is that acceptable?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For an internal, invitation-only pilot onboarding non-production interfaces — yes, and adding TOTP 2FA at sign-in (ACC-08) closes the biggest hole a password-only login would leave. Two things keep it safe rather than merely fast. First, Phase 0 builds a pluggable authentication abstraction, so Phase 4 swaps in enterprise SSO by configuration, not by rebuild; drop that abstraction to save time and the whole argument collapses. Second, local accounts are admin-approved, domain-restricted and never long-lived (ACC-07). Recommendation: gate the MVP so it cannot provision a Production interface until SSO and the full pre-check engine land in Phase 4. If the programme will not accept that gate, pull SSO forward and accept the schedule hit — do not simply hope.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8F1D17"/>
          <w:sz w:val="21"/>
          <w:szCs w:val="21"/>
        </w:rPr>
        <w:t xml:space="preserve">Challenge: Phase 3 (mashup) is where "config over construction" goes to die. What stops it?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Nothing, unless it is designed in. A mashup is an orchestration, and the instinctive Boomi answer is a new process per mashup — at which point you have rebuilt the sprawl you are migrating away from, in a newer product. API-10 AC6 is the line: the composition is a declarative specification executed by ONE generic orchestration engine, exactly as an MFT config row is executed by one generic MFT engine. API-11 AC2 is the second line: transformations come from a governed library, not arbitrary scripting. Expect the first request for a script step in the back half of Phase 3, and decide the answer now.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8F1D17"/>
          <w:sz w:val="21"/>
          <w:szCs w:val="21"/>
        </w:rPr>
        <w:t xml:space="preserve">Challenge: SSO and governance (Phase 4) start around the three-month mark and overlap the mashup build. Is running the API estate on MVP-grade controls for that long acceptable?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It is the real risk in this schedule. Phases 2 and 3 stand up an API and mashup estate that, until Phase 4 lands at week 19, is governed only by the MVP controls: admin-approved 2FA accounts, segregation of duties, the audit trail and basic pre-checks — not the full pre-check engine, not step-up MFA at the decision, not SSO. Running SSO as a parallel identity track from week 14 is realistic (identity is a different squad from API build), but the exposure is weeks 6–19. Recommendation: keep everything built in Phases 2 and 3 in non-production until Phase 4 completes, or pull the pre-check engine (ADM-04) forward into Phase 2. This is an SRO decision, taken now, not discovered at a gate review.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8F1D17"/>
          <w:sz w:val="21"/>
          <w:szCs w:val="21"/>
        </w:rPr>
        <w:t xml:space="preserve">Challenge: Should the MVP really include the build automation, or just the request form?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It must include the automation. A portal that captures a request and then hands a spreadsheet to the platform team is a nicer-looking ticket queue — and the business case for Intelligrator is not "prettier tickets", it is lead time and the removal of per-interface build. If Phase 1 ships without PRV-01, the MVP has not tested the hypothesis the product exists to test. Cut scope from the form (SFTP only, fewer options) before you cut it from the automation.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8F1D17"/>
          <w:sz w:val="21"/>
          <w:szCs w:val="21"/>
        </w:rPr>
        <w:t xml:space="preserve">Challenge: What is the single thing most likely to derail this?</w:t>
      </w:r>
    </w:p>
    <w:p>
      <w:pPr>
        <w:spacing w:after="120" w:line="276"/>
      </w:pPr>
      <w:r>
        <w:rPr>
          <w:rFonts w:ascii="Calibri" w:cs="Calibri" w:eastAsia="Calibri" w:hAnsi="Calibri"/>
          <w:color w:val="3D4653"/>
          <w:sz w:val="21"/>
          <w:szCs w:val="21"/>
        </w:rPr>
        <w:t xml:space="preserve">The config schema in Phase 0. Every later phase reads from it. If it is designed narrowly around SFTP because that is what the MVP needs, then Phase 2 bolts an API table onto the side, Phase 5 bolts an event table onto the side, and by Phase 6 you have three products sharing a login page. Design the schema for all three pattern families in Phase 0, even though only file transfer is implemented. Two weeks is tight for that; protect the thinking time.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4B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AA4B0"/>
        <w:sz w:val="16"/>
        <w:szCs w:val="16"/>
      </w:rPr>
      <w:t xml:space="preserve">Intelligrator — Phased Productionisation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465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0F172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003D9E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665b993bfc63adff6a07af2d1dc0937f8c4d86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Intelligrator — Phased Productionisation Plan</dc:title>
  <dc:creator>Integration Catalogue Bot</dc:creator>
  <cp:lastModifiedBy>Un-named</cp:lastModifiedBy>
  <cp:revision>1</cp:revision>
  <dcterms:created xsi:type="dcterms:W3CDTF">2026-07-15T18:47:38.610Z</dcterms:created>
  <dcterms:modified xsi:type="dcterms:W3CDTF">2026-07-15T18:47:38.626Z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