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400"/>
        <w:jc w:val="center"/>
      </w:pPr>
      <w:r>
        <w:rPr>
          <w:rFonts w:ascii="Calibri" w:cs="Calibri" w:eastAsia="Calibri" w:hAnsi="Calibri"/>
          <w:b/>
          <w:bCs/>
          <w:color w:val="5A6472"/>
          <w:sz w:val="18"/>
          <w:szCs w:val="18"/>
        </w:rPr>
        <w:t xml:space="preserve">OFFICIAL</w:t>
      </w:r>
    </w:p>
    <w:p>
      <w:pPr>
        <w:spacing w:after="60"/>
        <w:jc w:val="center"/>
      </w:pPr>
      <w:r>
        <w:rPr>
          <w:rFonts w:ascii="Calibri" w:cs="Calibri" w:eastAsia="Calibri" w:hAnsi="Calibri"/>
          <w:b/>
          <w:bCs/>
          <w:color w:val="003D9E"/>
          <w:sz w:val="52"/>
          <w:szCs w:val="52"/>
        </w:rPr>
        <w:t xml:space="preserve">Solution Design Document</w:t>
      </w:r>
    </w:p>
    <w:p>
      <w:pPr>
        <w:spacing w:after="40"/>
        <w:jc w:val="center"/>
      </w:pPr>
      <w:r>
        <w:rPr>
          <w:rFonts w:ascii="Calibri" w:cs="Calibri" w:eastAsia="Calibri" w:hAnsi="Calibri"/>
          <w:b/>
          <w:bCs/>
          <w:color w:val="12161C"/>
          <w:sz w:val="30"/>
          <w:szCs w:val="30"/>
        </w:rPr>
        <w:t xml:space="preserve">Managed File Transfer on Boomi (powered by Thru)</w:t>
      </w:r>
    </w:p>
    <w:p>
      <w:pPr>
        <w:spacing w:after="400"/>
        <w:jc w:val="center"/>
      </w:pPr>
      <w:r>
        <w:rPr>
          <w:rFonts w:ascii="Calibri" w:cs="Calibri" w:eastAsia="Calibri" w:hAnsi="Calibri"/>
          <w:color w:val="5A6472"/>
          <w:sz w:val="22"/>
          <w:szCs w:val="22"/>
        </w:rPr>
        <w:t xml:space="preserve">Capabilities · Architecture · Integration with the HMRC estate · Features &amp; Gaps</w:t>
      </w:r>
    </w:p>
    <w:p>
      <w:pPr>
        <w:spacing w:after="40"/>
        <w:jc w:val="center"/>
      </w:pPr>
      <w:r>
        <w:rPr>
          <w:rFonts w:ascii="Calibri" w:cs="Calibri" w:eastAsia="Calibri" w:hAnsi="Calibri"/>
          <w:color w:val="12161C"/>
          <w:sz w:val="20"/>
          <w:szCs w:val="20"/>
        </w:rPr>
        <w:t xml:space="preserve">HM Revenue &amp; Customs — Integration Platform (Boomi iPaaS) Programme</w:t>
      </w:r>
    </w:p>
    <w:p>
      <w:pPr>
        <w:spacing w:after="80"/>
        <w:jc w:val="center"/>
      </w:pPr>
      <w:r>
        <w:rPr>
          <w:rFonts w:ascii="Calibri" w:cs="Calibri" w:eastAsia="Calibri" w:hAnsi="Calibri"/>
          <w:color w:val="5A6472"/>
          <w:sz w:val="20"/>
          <w:szCs w:val="20"/>
        </w:rPr>
        <w:t xml:space="preserve">Version 0.1 (DRAFT for Design Authority review) · 20 July 2026</w:t>
      </w:r>
    </w:p>
    <w:p>
      <w:r>
        <w:br w:type="page"/>
      </w:r>
    </w:p>
    <w:p>
      <w:pPr>
        <w:pStyle w:val="Heading1"/>
        <w:spacing w:after="120" w:before="260"/>
      </w:pPr>
      <w:r>
        <w:rPr>
          <w:rFonts w:ascii="Calibri" w:cs="Calibri" w:eastAsia="Calibri" w:hAnsi="Calibri"/>
          <w:b/>
          <w:bCs/>
          <w:color w:val="003D9E"/>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03D9E"/>
          <w:sz w:val="30"/>
          <w:szCs w:val="30"/>
        </w:rPr>
        <w:t xml:space="preserve">1  Document control</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900"/>
        <w:gridCol w:w="3100"/>
        <w:gridCol w:w="1900"/>
        <w:gridCol w:w="2126"/>
      </w:tblGrid>
      <w:tr>
        <w:trPr>
          <w:tblHeader/>
        </w:trPr>
        <w:tc>
          <w:tcPr>
            <w:tcW w:type="dxa" w:w="19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Attribute</w:t>
            </w:r>
          </w:p>
        </w:tc>
        <w:tc>
          <w:tcPr>
            <w:tcW w:type="dxa" w:w="31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Value</w:t>
            </w:r>
          </w:p>
        </w:tc>
        <w:tc>
          <w:tcPr>
            <w:tcW w:type="dxa" w:w="19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Attribute</w:t>
            </w:r>
          </w:p>
        </w:tc>
        <w:tc>
          <w:tcPr>
            <w:tcW w:type="dxa" w:w="21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Value</w:t>
            </w:r>
          </w:p>
        </w:tc>
      </w:tr>
      <w:tr>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Document title</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SDD — MFT on Boomi (Thru)</w:t>
            </w:r>
          </w:p>
        </w:tc>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Classification</w:t>
            </w:r>
          </w:p>
        </w:tc>
        <w:tc>
          <w:tcPr>
            <w:tcW w:type="dxa" w:w="2126"/>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12161C"/>
                <w:sz w:val="19"/>
                <w:szCs w:val="19"/>
              </w:rPr>
              <w:t xml:space="preserve">OFFICIAL</w:t>
            </w:r>
          </w:p>
        </w:tc>
      </w:tr>
      <w:tr>
        <w:tc>
          <w:tcPr>
            <w:tcW w:type="dxa" w:w="1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Version</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12161C"/>
                <w:sz w:val="19"/>
                <w:szCs w:val="19"/>
              </w:rPr>
              <w:t xml:space="preserve">0.1 (DRAFT)</w:t>
            </w:r>
          </w:p>
        </w:tc>
        <w:tc>
          <w:tcPr>
            <w:tcW w:type="dxa" w:w="1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Status</w:t>
            </w:r>
          </w:p>
        </w:tc>
        <w:tc>
          <w:tcPr>
            <w:tcW w:type="dxa" w:w="21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For Design Authority review</w:t>
            </w:r>
          </w:p>
        </w:tc>
      </w:tr>
      <w:tr>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Author</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Integration Architecture</w:t>
            </w:r>
          </w:p>
        </w:tc>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Date</w:t>
            </w:r>
          </w:p>
        </w:tc>
        <w:tc>
          <w:tcPr>
            <w:tcW w:type="dxa" w:w="21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20 July 2026</w:t>
            </w:r>
          </w:p>
        </w:tc>
      </w:tr>
      <w:tr>
        <w:tc>
          <w:tcPr>
            <w:tcW w:type="dxa" w:w="1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Owner</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Integration Platform Programme</w:t>
            </w:r>
          </w:p>
        </w:tc>
        <w:tc>
          <w:tcPr>
            <w:tcW w:type="dxa" w:w="1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Product</w:t>
            </w:r>
          </w:p>
        </w:tc>
        <w:tc>
          <w:tcPr>
            <w:tcW w:type="dxa" w:w="21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Boomi Enterprise Platform — MFT</w:t>
            </w:r>
          </w:p>
        </w:tc>
      </w:tr>
      <w:tr>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Reviewers</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Design Authority; Security Architecture; Ops</w:t>
            </w:r>
          </w:p>
        </w:tc>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Approver</w:t>
            </w:r>
          </w:p>
        </w:tc>
        <w:tc>
          <w:tcPr>
            <w:tcW w:type="dxa" w:w="21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Design Authority (pending)</w:t>
            </w:r>
          </w:p>
        </w:tc>
      </w:tr>
    </w:tbl>
    <w:p>
      <w:pPr>
        <w:spacing w:after="80"/>
      </w:pPr>
      <w:r>
        <w:rPr>
          <w:rFonts w:ascii="Calibri" w:cs="Calibri" w:eastAsia="Calibri" w:hAnsi="Calibri"/>
          <w:color w:val="12161C"/>
          <w:sz w:val="21"/>
          <w:szCs w:val="21"/>
        </w:rPr>
        <w:t xml:space="preserve"/>
      </w:r>
    </w:p>
    <w:p>
      <w:pPr>
        <w:pStyle w:val="Heading3"/>
        <w:spacing w:after="80" w:before="160"/>
      </w:pPr>
      <w:r>
        <w:rPr>
          <w:rFonts w:ascii="Calibri" w:cs="Calibri" w:eastAsia="Calibri" w:hAnsi="Calibri"/>
          <w:b/>
          <w:bCs/>
          <w:color w:val="5A6472"/>
          <w:sz w:val="22"/>
          <w:szCs w:val="22"/>
        </w:rPr>
        <w:t xml:space="preserve">Related documents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600"/>
        <w:gridCol w:w="6426"/>
      </w:tblGrid>
      <w:tr>
        <w:trPr>
          <w:tblHeader/>
        </w:trPr>
        <w:tc>
          <w:tcPr>
            <w:tcW w:type="dxa" w:w="26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Reference</w:t>
            </w:r>
          </w:p>
        </w:tc>
        <w:tc>
          <w:tcPr>
            <w:tcW w:type="dxa" w:w="64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Document</w:t>
            </w:r>
          </w:p>
        </w:tc>
      </w:tr>
      <w:tr>
        <w:tc>
          <w:tcPr>
            <w:tcW w:type="dxa" w:w="26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P-116</w:t>
            </w:r>
          </w:p>
        </w:tc>
        <w:tc>
          <w:tcPr>
            <w:tcW w:type="dxa" w:w="6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Integration Pattern Catalogue — Managed File Transfer (MFT) pattern</w:t>
            </w:r>
          </w:p>
        </w:tc>
      </w:tr>
      <w:tr>
        <w:tc>
          <w:tcPr>
            <w:tcW w:type="dxa" w:w="26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Intelligrator</w:t>
            </w:r>
          </w:p>
        </w:tc>
        <w:tc>
          <w:tcPr>
            <w:tcW w:type="dxa" w:w="6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Intelligrator — self-service MFT/API onboarding product specification</w:t>
            </w:r>
          </w:p>
        </w:tc>
      </w:tr>
      <w:tr>
        <w:tc>
          <w:tcPr>
            <w:tcW w:type="dxa" w:w="26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Estate</w:t>
            </w:r>
          </w:p>
        </w:tc>
        <w:tc>
          <w:tcPr>
            <w:tcW w:type="dxa" w:w="6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Legacy estate reference — WebMethods IS, ChRIS, ETMP, NPS, DES, HoD services</w:t>
            </w:r>
          </w:p>
        </w:tc>
      </w:tr>
      <w:tr>
        <w:tc>
          <w:tcPr>
            <w:tcW w:type="dxa" w:w="26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Principle</w:t>
            </w:r>
          </w:p>
        </w:tc>
        <w:tc>
          <w:tcPr>
            <w:tcW w:type="dxa" w:w="6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“Config over construction” architecture principle (programme-wide)</w:t>
            </w:r>
          </w:p>
        </w:tc>
      </w:tr>
    </w:tbl>
    <w:p>
      <w:pPr>
        <w:spacing w:after="80"/>
      </w:pPr>
      <w:r>
        <w:rPr>
          <w:rFonts w:ascii="Calibri" w:cs="Calibri" w:eastAsia="Calibri" w:hAnsi="Calibri"/>
          <w:color w:val="12161C"/>
          <w:sz w:val="21"/>
          <w:szCs w:val="21"/>
        </w:rPr>
        <w:t xml:space="preserve"/>
      </w:r>
    </w:p>
    <w:p>
      <w:pPr>
        <w:pStyle w:val="Heading3"/>
        <w:spacing w:after="80" w:before="160"/>
      </w:pPr>
      <w:r>
        <w:rPr>
          <w:rFonts w:ascii="Calibri" w:cs="Calibri" w:eastAsia="Calibri" w:hAnsi="Calibri"/>
          <w:b/>
          <w:bCs/>
          <w:color w:val="5A6472"/>
          <w:sz w:val="22"/>
          <w:szCs w:val="22"/>
        </w:rPr>
        <w:t xml:space="preserve">Version history</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300"/>
        <w:gridCol w:w="1900"/>
        <w:gridCol w:w="2200"/>
        <w:gridCol w:w="3626"/>
      </w:tblGrid>
      <w:tr>
        <w:trPr>
          <w:tblHeader/>
        </w:trPr>
        <w:tc>
          <w:tcPr>
            <w:tcW w:type="dxa" w:w="13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Version</w:t>
            </w:r>
          </w:p>
        </w:tc>
        <w:tc>
          <w:tcPr>
            <w:tcW w:type="dxa" w:w="19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Date</w:t>
            </w:r>
          </w:p>
        </w:tc>
        <w:tc>
          <w:tcPr>
            <w:tcW w:type="dxa" w:w="22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Author</w:t>
            </w:r>
          </w:p>
        </w:tc>
        <w:tc>
          <w:tcPr>
            <w:tcW w:type="dxa" w:w="36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Summary of change</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0.1</w:t>
            </w:r>
          </w:p>
        </w:tc>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20 Jul 2026</w:t>
            </w:r>
          </w:p>
        </w:tc>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Integration Architecture</w:t>
            </w:r>
          </w:p>
        </w:tc>
        <w:tc>
          <w:tcPr>
            <w:tcW w:type="dxa" w:w="3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Initial draft for Design Authority review</w:t>
            </w:r>
          </w:p>
        </w:tc>
      </w:tr>
    </w:tbl>
    <w:p>
      <w:pPr>
        <w:pStyle w:val="Heading1"/>
        <w:spacing w:after="120" w:before="260"/>
      </w:pPr>
      <w:r>
        <w:rPr>
          <w:rFonts w:ascii="Calibri" w:cs="Calibri" w:eastAsia="Calibri" w:hAnsi="Calibri"/>
          <w:b/>
          <w:bCs/>
          <w:color w:val="003D9E"/>
          <w:sz w:val="30"/>
          <w:szCs w:val="30"/>
        </w:rPr>
        <w:t xml:space="preserve">2  Executive summary</w:t>
      </w:r>
    </w:p>
    <w:p>
      <w:pPr>
        <w:spacing w:after="120" w:before="0" w:line="276"/>
      </w:pPr>
      <w:r>
        <w:rPr>
          <w:rFonts w:ascii="Calibri" w:cs="Calibri" w:eastAsia="Calibri" w:hAnsi="Calibri"/>
          <w:color w:val="12161C"/>
          <w:sz w:val="21"/>
          <w:szCs w:val="21"/>
        </w:rPr>
        <w:t xml:space="preserve">Boomi acquired Thru, Inc. in May 2025 to embed enterprise-grade Managed File Transfer (MFT) natively within the Boomi Enterprise Platform, unifying API-based, application-based and file-based data movement under a single control plane. This Solution Design Document (SDD) sets out how Boomi native MFT is used to deliver governed, secure, auditable and config-driven file transfer for the HMRC integration estate, coexisting with and progressively replacing legacy WebMethods and bespoke file-mover jobs.</w:t>
      </w:r>
    </w:p>
    <w:p>
      <w:pPr>
        <w:spacing w:after="120" w:before="0" w:line="276"/>
      </w:pPr>
      <w:r>
        <w:rPr>
          <w:rFonts w:ascii="Calibri" w:cs="Calibri" w:eastAsia="Calibri" w:hAnsi="Calibri"/>
          <w:color w:val="12161C"/>
          <w:sz w:val="21"/>
          <w:szCs w:val="21"/>
        </w:rPr>
        <w:t xml:space="preserve">The design is anchored to the programme's inviolable principle: </w:t>
      </w:r>
      <w:r>
        <w:rPr>
          <w:rFonts w:ascii="Calibri" w:cs="Calibri" w:eastAsia="Calibri" w:hAnsi="Calibri"/>
          <w:b/>
          <w:bCs/>
          <w:color w:val="12161C"/>
          <w:sz w:val="21"/>
          <w:szCs w:val="21"/>
        </w:rPr>
        <w:t xml:space="preserve">“config over construction”</w:t>
      </w:r>
      <w:r>
        <w:rPr>
          <w:rFonts w:ascii="Calibri" w:cs="Calibri" w:eastAsia="Calibri" w:hAnsi="Calibri"/>
          <w:color w:val="12161C"/>
          <w:sz w:val="21"/>
          <w:szCs w:val="21"/>
        </w:rPr>
        <w:t xml:space="preserve">. A single generic MFT engine process handles every transfer; each approved interface becomes a configuration row in a routing table, never a new Boomi component. This keeps the estate small, uniform, testable and cheap to govern as onboarding scales through the Intelligrator self-service portal.</w:t>
      </w:r>
    </w:p>
    <w:tbl>
      <w:tblPr>
        <w:tblW w:type="dxa" w:w="9026"/>
        <w:tblBorders>
          <w:top w:val="none"/>
          <w:left w:val="single" w:color="003D9E" w:sz="18"/>
          <w:bottom w:val="none"/>
          <w:right w:val="none"/>
          <w:insideH w:val="none"/>
          <w:insideV w:val="none"/>
        </w:tblBorders>
      </w:tblPr>
      <w:tblGrid>
        <w:gridCol w:w="9026"/>
      </w:tblGrid>
      <w:tr>
        <w:tc>
          <w:tcPr>
            <w:tcW w:type="dxa" w:w="9026"/>
            <w:shd w:fill="EAF1FF" w:color="auto" w:val="clear"/>
            <w:tcMar>
              <w:top w:type="dxa" w:w="100"/>
              <w:left w:type="dxa" w:w="160"/>
              <w:bottom w:type="dxa" w:w="100"/>
              <w:right w:type="dxa" w:w="140"/>
            </w:tcMar>
          </w:tcPr>
          <w:p>
            <w:pPr>
              <w:spacing w:after="40"/>
            </w:pPr>
            <w:r>
              <w:rPr>
                <w:rFonts w:ascii="Calibri" w:cs="Calibri" w:eastAsia="Calibri" w:hAnsi="Calibri"/>
                <w:b/>
                <w:bCs/>
                <w:color w:val="003D9E"/>
                <w:sz w:val="20"/>
                <w:szCs w:val="20"/>
              </w:rPr>
              <w:t xml:space="preserve">Recommendation to the Design Authority</w:t>
            </w:r>
          </w:p>
          <w:p>
            <w:pPr>
              <w:spacing w:after="20" w:line="264"/>
            </w:pPr>
            <w:r>
              <w:rPr>
                <w:rFonts w:ascii="Calibri" w:cs="Calibri" w:eastAsia="Calibri" w:hAnsi="Calibri"/>
                <w:color w:val="12161C"/>
                <w:sz w:val="19"/>
                <w:szCs w:val="19"/>
              </w:rPr>
              <w:t xml:space="preserve">Adopt Boomi native MFT (Thru) as the strategic MFT capability for the estate, deployed as a hybrid topology (Boomi-hosted control plane + customer-managed MFT runtimes so OFFICIAL payloads remain within the trusted boundary).</w:t>
            </w:r>
          </w:p>
          <w:p>
            <w:pPr>
              <w:spacing w:after="20" w:line="264"/>
            </w:pPr>
            <w:r>
              <w:rPr>
                <w:rFonts w:ascii="Calibri" w:cs="Calibri" w:eastAsia="Calibri" w:hAnsi="Calibri"/>
                <w:color w:val="12161C"/>
                <w:sz w:val="19"/>
                <w:szCs w:val="19"/>
              </w:rPr>
              <w:t xml:space="preserve">Proceed on the basis that the design decisions (Section 12) are accepted and the seven open questions (Section 14) are assigned named owners before build — most materially: data residency/assurance for OFFICIAL, long-term audit retention beyond native defaults, and native protocol coverage vs partner requirements.</w:t>
            </w:r>
          </w:p>
        </w:tc>
      </w:tr>
    </w:tbl>
    <w:p>
      <w:pPr>
        <w:pStyle w:val="Heading1"/>
        <w:spacing w:after="120" w:before="260"/>
      </w:pPr>
      <w:r>
        <w:rPr>
          <w:rFonts w:ascii="Calibri" w:cs="Calibri" w:eastAsia="Calibri" w:hAnsi="Calibri"/>
          <w:b/>
          <w:bCs/>
          <w:color w:val="003D9E"/>
          <w:sz w:val="30"/>
          <w:szCs w:val="30"/>
        </w:rPr>
        <w:t xml:space="preserve">3  Purpose, scope and audience</w:t>
      </w:r>
    </w:p>
    <w:p>
      <w:pPr>
        <w:pStyle w:val="Heading2"/>
        <w:spacing w:after="100" w:before="200"/>
      </w:pPr>
      <w:r>
        <w:rPr>
          <w:rFonts w:ascii="Calibri" w:cs="Calibri" w:eastAsia="Calibri" w:hAnsi="Calibri"/>
          <w:b/>
          <w:bCs/>
          <w:color w:val="12161C"/>
          <w:sz w:val="25"/>
          <w:szCs w:val="25"/>
        </w:rPr>
        <w:t xml:space="preserve">3.1  Purpose</w:t>
      </w:r>
    </w:p>
    <w:p>
      <w:pPr>
        <w:spacing w:after="120" w:before="0" w:line="276"/>
      </w:pPr>
      <w:r>
        <w:rPr>
          <w:rFonts w:ascii="Calibri" w:cs="Calibri" w:eastAsia="Calibri" w:hAnsi="Calibri"/>
          <w:color w:val="12161C"/>
          <w:sz w:val="21"/>
          <w:szCs w:val="21"/>
        </w:rPr>
        <w:t xml:space="preserve">To provide the design baseline for MFT on Boomi sufficient for Design Authority sign-off: the capabilities relied upon, the target architecture, how it integrates with the HMRC estate, the non-functional posture, and an honest assessment of gaps and the decisions/actions they drive.</w:t>
      </w:r>
    </w:p>
    <w:p>
      <w:pPr>
        <w:pStyle w:val="Heading2"/>
        <w:spacing w:after="100" w:before="200"/>
      </w:pPr>
      <w:r>
        <w:rPr>
          <w:rFonts w:ascii="Calibri" w:cs="Calibri" w:eastAsia="Calibri" w:hAnsi="Calibri"/>
          <w:b/>
          <w:bCs/>
          <w:color w:val="12161C"/>
          <w:sz w:val="25"/>
          <w:szCs w:val="25"/>
        </w:rPr>
        <w:t xml:space="preserve">3.2  In scope</w:t>
      </w:r>
    </w:p>
    <w:p>
      <w:pPr>
        <w:pStyle w:val="ListParagraph"/>
        <w:numPr>
          <w:ilvl w:val="0"/>
          <w:numId w:val="1"/>
        </w:numPr>
        <w:spacing w:after="60" w:line="268"/>
      </w:pPr>
      <w:r>
        <w:rPr>
          <w:rFonts w:ascii="Calibri" w:cs="Calibri" w:eastAsia="Calibri" w:hAnsi="Calibri"/>
          <w:color w:val="12161C"/>
          <w:sz w:val="21"/>
          <w:szCs w:val="21"/>
        </w:rPr>
        <w:t xml:space="preserve">Boomi native MFT (Thru) capabilities relied upon by the estate.</w:t>
      </w:r>
    </w:p>
    <w:p>
      <w:pPr>
        <w:pStyle w:val="ListParagraph"/>
        <w:numPr>
          <w:ilvl w:val="0"/>
          <w:numId w:val="1"/>
        </w:numPr>
        <w:spacing w:after="60" w:line="268"/>
      </w:pPr>
      <w:r>
        <w:rPr>
          <w:rFonts w:ascii="Calibri" w:cs="Calibri" w:eastAsia="Calibri" w:hAnsi="Calibri"/>
          <w:color w:val="12161C"/>
          <w:sz w:val="21"/>
          <w:szCs w:val="21"/>
        </w:rPr>
        <w:t xml:space="preserve">Logical and deployment architecture, including the config-driven generic engine.</w:t>
      </w:r>
    </w:p>
    <w:p>
      <w:pPr>
        <w:pStyle w:val="ListParagraph"/>
        <w:numPr>
          <w:ilvl w:val="0"/>
          <w:numId w:val="1"/>
        </w:numPr>
        <w:spacing w:after="60" w:line="268"/>
      </w:pPr>
      <w:r>
        <w:rPr>
          <w:rFonts w:ascii="Calibri" w:cs="Calibri" w:eastAsia="Calibri" w:hAnsi="Calibri"/>
          <w:color w:val="12161C"/>
          <w:sz w:val="21"/>
          <w:szCs w:val="21"/>
        </w:rPr>
        <w:t xml:space="preserve">Integration with estate systems (ETMP, NPS, DES, ChRIS, HoD) and WebMethods coexistence.</w:t>
      </w:r>
    </w:p>
    <w:p>
      <w:pPr>
        <w:pStyle w:val="ListParagraph"/>
        <w:numPr>
          <w:ilvl w:val="0"/>
          <w:numId w:val="1"/>
        </w:numPr>
        <w:spacing w:after="60" w:line="268"/>
      </w:pPr>
      <w:r>
        <w:rPr>
          <w:rFonts w:ascii="Calibri" w:cs="Calibri" w:eastAsia="Calibri" w:hAnsi="Calibri"/>
          <w:color w:val="12161C"/>
          <w:sz w:val="21"/>
          <w:szCs w:val="21"/>
        </w:rPr>
        <w:t xml:space="preserve">Security, non-functional design, and operability.</w:t>
      </w:r>
    </w:p>
    <w:p>
      <w:pPr>
        <w:pStyle w:val="ListParagraph"/>
        <w:numPr>
          <w:ilvl w:val="0"/>
          <w:numId w:val="1"/>
        </w:numPr>
        <w:spacing w:after="60" w:line="268"/>
      </w:pPr>
      <w:r>
        <w:rPr>
          <w:rFonts w:ascii="Calibri" w:cs="Calibri" w:eastAsia="Calibri" w:hAnsi="Calibri"/>
          <w:color w:val="12161C"/>
          <w:sz w:val="21"/>
          <w:szCs w:val="21"/>
        </w:rPr>
        <w:t xml:space="preserve">Capability/feature inventory and gap analysis with mitigations.</w:t>
      </w:r>
    </w:p>
    <w:p>
      <w:pPr>
        <w:pStyle w:val="Heading2"/>
        <w:spacing w:after="100" w:before="200"/>
      </w:pPr>
      <w:r>
        <w:rPr>
          <w:rFonts w:ascii="Calibri" w:cs="Calibri" w:eastAsia="Calibri" w:hAnsi="Calibri"/>
          <w:b/>
          <w:bCs/>
          <w:color w:val="12161C"/>
          <w:sz w:val="25"/>
          <w:szCs w:val="25"/>
        </w:rPr>
        <w:t xml:space="preserve">3.3  Out of scope</w:t>
      </w:r>
    </w:p>
    <w:p>
      <w:pPr>
        <w:pStyle w:val="ListParagraph"/>
        <w:numPr>
          <w:ilvl w:val="0"/>
          <w:numId w:val="1"/>
        </w:numPr>
        <w:spacing w:after="60" w:line="268"/>
      </w:pPr>
      <w:r>
        <w:rPr>
          <w:rFonts w:ascii="Calibri" w:cs="Calibri" w:eastAsia="Calibri" w:hAnsi="Calibri"/>
          <w:color w:val="12161C"/>
          <w:sz w:val="21"/>
          <w:szCs w:val="21"/>
        </w:rPr>
        <w:t xml:space="preserve">Per-interface onboarding detail (handled as configuration via Intelligrator, not design).</w:t>
      </w:r>
    </w:p>
    <w:p>
      <w:pPr>
        <w:pStyle w:val="ListParagraph"/>
        <w:numPr>
          <w:ilvl w:val="0"/>
          <w:numId w:val="1"/>
        </w:numPr>
        <w:spacing w:after="60" w:line="268"/>
      </w:pPr>
      <w:r>
        <w:rPr>
          <w:rFonts w:ascii="Calibri" w:cs="Calibri" w:eastAsia="Calibri" w:hAnsi="Calibri"/>
          <w:color w:val="12161C"/>
          <w:sz w:val="21"/>
          <w:szCs w:val="21"/>
        </w:rPr>
        <w:t xml:space="preserve">API Management and event-streaming patterns (covered by their own designs).</w:t>
      </w:r>
    </w:p>
    <w:p>
      <w:pPr>
        <w:pStyle w:val="ListParagraph"/>
        <w:numPr>
          <w:ilvl w:val="0"/>
          <w:numId w:val="1"/>
        </w:numPr>
        <w:spacing w:after="60" w:line="268"/>
      </w:pPr>
      <w:r>
        <w:rPr>
          <w:rFonts w:ascii="Calibri" w:cs="Calibri" w:eastAsia="Calibri" w:hAnsi="Calibri"/>
          <w:color w:val="12161C"/>
          <w:sz w:val="21"/>
          <w:szCs w:val="21"/>
        </w:rPr>
        <w:t xml:space="preserve">Commercial, licensing and contractual terms.</w:t>
      </w:r>
    </w:p>
    <w:p>
      <w:pPr>
        <w:pStyle w:val="ListParagraph"/>
        <w:numPr>
          <w:ilvl w:val="0"/>
          <w:numId w:val="1"/>
        </w:numPr>
        <w:spacing w:after="60" w:line="268"/>
      </w:pPr>
      <w:r>
        <w:rPr>
          <w:rFonts w:ascii="Calibri" w:cs="Calibri" w:eastAsia="Calibri" w:hAnsi="Calibri"/>
          <w:color w:val="12161C"/>
          <w:sz w:val="21"/>
          <w:szCs w:val="21"/>
        </w:rPr>
        <w:t xml:space="preserve">Detailed network/firewall low-level design (referenced as a dependency).</w:t>
      </w:r>
    </w:p>
    <w:p>
      <w:pPr>
        <w:pStyle w:val="Heading2"/>
        <w:spacing w:after="100" w:before="200"/>
      </w:pPr>
      <w:r>
        <w:rPr>
          <w:rFonts w:ascii="Calibri" w:cs="Calibri" w:eastAsia="Calibri" w:hAnsi="Calibri"/>
          <w:b/>
          <w:bCs/>
          <w:color w:val="12161C"/>
          <w:sz w:val="25"/>
          <w:szCs w:val="25"/>
        </w:rPr>
        <w:t xml:space="preserve">3.4  Audience</w:t>
      </w:r>
    </w:p>
    <w:p>
      <w:pPr>
        <w:spacing w:after="120" w:before="0" w:line="276"/>
      </w:pPr>
      <w:r>
        <w:rPr>
          <w:rFonts w:ascii="Calibri" w:cs="Calibri" w:eastAsia="Calibri" w:hAnsi="Calibri"/>
          <w:color w:val="12161C"/>
          <w:sz w:val="21"/>
          <w:szCs w:val="21"/>
        </w:rPr>
        <w:t xml:space="preserve">Design Authority, Security Architecture, Integration Architecture, Platform Operations, and the Intelligrator product team.</w:t>
      </w:r>
    </w:p>
    <w:p>
      <w:r>
        <w:br w:type="page"/>
      </w:r>
    </w:p>
    <w:p>
      <w:pPr>
        <w:pStyle w:val="Heading1"/>
        <w:spacing w:after="120" w:before="260"/>
      </w:pPr>
      <w:r>
        <w:rPr>
          <w:rFonts w:ascii="Calibri" w:cs="Calibri" w:eastAsia="Calibri" w:hAnsi="Calibri"/>
          <w:b/>
          <w:bCs/>
          <w:color w:val="003D9E"/>
          <w:sz w:val="30"/>
          <w:szCs w:val="30"/>
        </w:rPr>
        <w:t xml:space="preserve">4  Background and context</w:t>
      </w:r>
    </w:p>
    <w:p>
      <w:pPr>
        <w:spacing w:after="120" w:before="0" w:line="276"/>
      </w:pPr>
      <w:r>
        <w:rPr>
          <w:rFonts w:ascii="Calibri" w:cs="Calibri" w:eastAsia="Calibri" w:hAnsi="Calibri"/>
          <w:color w:val="12161C"/>
          <w:sz w:val="21"/>
          <w:szCs w:val="21"/>
        </w:rPr>
        <w:t xml:space="preserve">HMRC's integration estate has historically moved files through a mix of WebMethods Integration Server flows, ChRIS, and bespoke scheduled SFTP scripts, point-to-point between systems of record such as ETMP, NPS and DES, and outward to other government departments, agents and financial institutions. This fragmentation produces inconsistent security controls, weak central audit, and a per-interface bespoke build cost that does not scale.</w:t>
      </w:r>
    </w:p>
    <w:p>
      <w:pPr>
        <w:pStyle w:val="Heading2"/>
        <w:spacing w:after="100" w:before="200"/>
      </w:pPr>
      <w:r>
        <w:rPr>
          <w:rFonts w:ascii="Calibri" w:cs="Calibri" w:eastAsia="Calibri" w:hAnsi="Calibri"/>
          <w:b/>
          <w:bCs/>
          <w:color w:val="12161C"/>
          <w:sz w:val="25"/>
          <w:szCs w:val="25"/>
        </w:rPr>
        <w:t xml:space="preserve">4.1  Drivers</w:t>
      </w:r>
    </w:p>
    <w:p>
      <w:pPr>
        <w:pStyle w:val="ListParagraph"/>
        <w:numPr>
          <w:ilvl w:val="0"/>
          <w:numId w:val="1"/>
        </w:numPr>
        <w:spacing w:after="60" w:line="268"/>
      </w:pPr>
      <w:r>
        <w:rPr>
          <w:rFonts w:ascii="Calibri" w:cs="Calibri" w:eastAsia="Calibri" w:hAnsi="Calibri"/>
          <w:color w:val="12161C"/>
          <w:sz w:val="21"/>
          <w:szCs w:val="21"/>
        </w:rPr>
        <w:t xml:space="preserve">Consolidate file movement onto Boomi iPaaS as the strategic integration platform.</w:t>
      </w:r>
    </w:p>
    <w:p>
      <w:pPr>
        <w:pStyle w:val="ListParagraph"/>
        <w:numPr>
          <w:ilvl w:val="0"/>
          <w:numId w:val="1"/>
        </w:numPr>
        <w:spacing w:after="60" w:line="268"/>
      </w:pPr>
      <w:r>
        <w:rPr>
          <w:rFonts w:ascii="Calibri" w:cs="Calibri" w:eastAsia="Calibri" w:hAnsi="Calibri"/>
          <w:color w:val="12161C"/>
          <w:sz w:val="21"/>
          <w:szCs w:val="21"/>
        </w:rPr>
        <w:t xml:space="preserve">Eliminate bespoke code in favour of configuration, reducing build and assurance cost.</w:t>
      </w:r>
    </w:p>
    <w:p>
      <w:pPr>
        <w:pStyle w:val="ListParagraph"/>
        <w:numPr>
          <w:ilvl w:val="0"/>
          <w:numId w:val="1"/>
        </w:numPr>
        <w:spacing w:after="60" w:line="268"/>
      </w:pPr>
      <w:r>
        <w:rPr>
          <w:rFonts w:ascii="Calibri" w:cs="Calibri" w:eastAsia="Calibri" w:hAnsi="Calibri"/>
          <w:color w:val="12161C"/>
          <w:sz w:val="21"/>
          <w:szCs w:val="21"/>
        </w:rPr>
        <w:t xml:space="preserve">Provide a single source of truth for monitoring, tracking and audit of all transfers.</w:t>
      </w:r>
    </w:p>
    <w:p>
      <w:pPr>
        <w:pStyle w:val="ListParagraph"/>
        <w:numPr>
          <w:ilvl w:val="0"/>
          <w:numId w:val="1"/>
        </w:numPr>
        <w:spacing w:after="60" w:line="268"/>
      </w:pPr>
      <w:r>
        <w:rPr>
          <w:rFonts w:ascii="Calibri" w:cs="Calibri" w:eastAsia="Calibri" w:hAnsi="Calibri"/>
          <w:color w:val="12161C"/>
          <w:sz w:val="21"/>
          <w:szCs w:val="21"/>
        </w:rPr>
        <w:t xml:space="preserve">Enable governed self-service onboarding via Intelligrator.</w:t>
      </w:r>
    </w:p>
    <w:p>
      <w:pPr>
        <w:pStyle w:val="ListParagraph"/>
        <w:numPr>
          <w:ilvl w:val="0"/>
          <w:numId w:val="1"/>
        </w:numPr>
        <w:spacing w:after="60" w:line="268"/>
      </w:pPr>
      <w:r>
        <w:rPr>
          <w:rFonts w:ascii="Calibri" w:cs="Calibri" w:eastAsia="Calibri" w:hAnsi="Calibri"/>
          <w:color w:val="12161C"/>
          <w:sz w:val="21"/>
          <w:szCs w:val="21"/>
        </w:rPr>
        <w:t xml:space="preserve">Provide a controlled path to decommission WebMethods.</w:t>
      </w:r>
    </w:p>
    <w:p>
      <w:pPr>
        <w:pStyle w:val="Heading2"/>
        <w:spacing w:after="100" w:before="200"/>
      </w:pPr>
      <w:r>
        <w:rPr>
          <w:rFonts w:ascii="Calibri" w:cs="Calibri" w:eastAsia="Calibri" w:hAnsi="Calibri"/>
          <w:b/>
          <w:bCs/>
          <w:color w:val="12161C"/>
          <w:sz w:val="25"/>
          <w:szCs w:val="25"/>
        </w:rPr>
        <w:t xml:space="preserve">4.2  Legacy estate touchpoints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200"/>
        <w:gridCol w:w="6826"/>
      </w:tblGrid>
      <w:tr>
        <w:trPr>
          <w:tblHeader/>
        </w:trPr>
        <w:tc>
          <w:tcPr>
            <w:tcW w:type="dxa" w:w="22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System</w:t>
            </w:r>
          </w:p>
        </w:tc>
        <w:tc>
          <w:tcPr>
            <w:tcW w:type="dxa" w:w="68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Relationship to MFT</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WebMethods IS</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Incumbent broker/flows and drop-zones; source and target during coexistence; decommission target.</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ChRIS</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File-based exchange participant; consumer/producer of managed transfers.</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ETMP / NPS / DES</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Systems of record; delivery/collection endpoints reached via Boomi connectors.</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HoD services</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Head-of-Duty services participating in file-based flows.</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External parties</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OGDs, suppliers, agents and banks exchanging files over SFTP/FTPS/AS2.</w:t>
            </w:r>
          </w:p>
        </w:tc>
      </w:tr>
    </w:tbl>
    <w:p>
      <w:pPr>
        <w:pStyle w:val="Heading1"/>
        <w:spacing w:after="120" w:before="260"/>
      </w:pPr>
      <w:r>
        <w:rPr>
          <w:rFonts w:ascii="Calibri" w:cs="Calibri" w:eastAsia="Calibri" w:hAnsi="Calibri"/>
          <w:b/>
          <w:bCs/>
          <w:color w:val="003D9E"/>
          <w:sz w:val="30"/>
          <w:szCs w:val="30"/>
        </w:rPr>
        <w:t xml:space="preserve">5  Requirements</w:t>
      </w:r>
    </w:p>
    <w:p>
      <w:pPr>
        <w:pStyle w:val="Heading2"/>
        <w:spacing w:after="100" w:before="200"/>
      </w:pPr>
      <w:r>
        <w:rPr>
          <w:rFonts w:ascii="Calibri" w:cs="Calibri" w:eastAsia="Calibri" w:hAnsi="Calibri"/>
          <w:b/>
          <w:bCs/>
          <w:color w:val="12161C"/>
          <w:sz w:val="25"/>
          <w:szCs w:val="25"/>
        </w:rPr>
        <w:t xml:space="preserve">5.1  Functional requirements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300"/>
        <w:gridCol w:w="5326"/>
        <w:gridCol w:w="2400"/>
      </w:tblGrid>
      <w:tr>
        <w:trPr>
          <w:tblHeader/>
        </w:trPr>
        <w:tc>
          <w:tcPr>
            <w:tcW w:type="dxa" w:w="13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w:t>
            </w:r>
          </w:p>
        </w:tc>
        <w:tc>
          <w:tcPr>
            <w:tcW w:type="dxa" w:w="53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Requirement</w:t>
            </w:r>
          </w:p>
        </w:tc>
        <w:tc>
          <w:tcPr>
            <w:tcW w:type="dxa" w:w="24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Met by</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FR-01</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Secure inbound and outbound transfer over multiple protocols (SFTP, FTPS, AS2).</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Native MFT endpoints</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FR-02</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Onboard trading partners and endpoints without new build.</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Orgs/Endpoints + config</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FR-03</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Trigger downstream Boomi processing on file arrival (event-driven).</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 → process trigger</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FR-04</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End-to-end tracking with a unique transfer identifier and delivery confirmation.</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Tracking &amp; audit log</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FR-05</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Guaranteed delivery with automatic retry and fault tolerance.</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Persistence + retry</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FR-06</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Handle large files and archives efficiently.</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Streaming + TAR support</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FR-07</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Encrypt/decrypt payloads (PGP, incl. ASCII-armor) and secure in transit.</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PGP + TLS/SSH</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FR-08</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Filename-pattern routing, filtering and post-transfer actions.</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Flow endpoints + config</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FR-09</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Time-based scheduling and polling of sources.</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Scheduling engine</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FR-10</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Alert on failure and SLA breach; expose operational telemetry.</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Health telemetry + OTel</w:t>
            </w:r>
          </w:p>
        </w:tc>
      </w:tr>
    </w:tbl>
    <w:p>
      <w:pPr>
        <w:spacing w:after="80"/>
      </w:pPr>
      <w:r>
        <w:rPr>
          <w:rFonts w:ascii="Calibri" w:cs="Calibri" w:eastAsia="Calibri" w:hAnsi="Calibri"/>
          <w:color w:val="12161C"/>
          <w:sz w:val="21"/>
          <w:szCs w:val="21"/>
        </w:rPr>
        <w:t xml:space="preserve"/>
      </w:r>
    </w:p>
    <w:p>
      <w:pPr>
        <w:pStyle w:val="Heading2"/>
        <w:spacing w:after="100" w:before="200"/>
      </w:pPr>
      <w:r>
        <w:rPr>
          <w:rFonts w:ascii="Calibri" w:cs="Calibri" w:eastAsia="Calibri" w:hAnsi="Calibri"/>
          <w:b/>
          <w:bCs/>
          <w:color w:val="12161C"/>
          <w:sz w:val="25"/>
          <w:szCs w:val="25"/>
        </w:rPr>
        <w:t xml:space="preserve">5.2  Non-functional requirements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300"/>
        <w:gridCol w:w="3200"/>
        <w:gridCol w:w="4526"/>
      </w:tblGrid>
      <w:tr>
        <w:trPr>
          <w:tblHeader/>
        </w:trPr>
        <w:tc>
          <w:tcPr>
            <w:tcW w:type="dxa" w:w="13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w:t>
            </w:r>
          </w:p>
        </w:tc>
        <w:tc>
          <w:tcPr>
            <w:tcW w:type="dxa" w:w="32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Requirement</w:t>
            </w:r>
          </w:p>
        </w:tc>
        <w:tc>
          <w:tcPr>
            <w:tcW w:type="dxa" w:w="45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Design response (Section 10)</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NFR-01</w:t>
            </w:r>
          </w:p>
        </w:tc>
        <w:tc>
          <w:tcPr>
            <w:tcW w:type="dxa" w:w="3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High availability</w:t>
            </w:r>
          </w:p>
        </w:tc>
        <w:tc>
          <w:tcPr>
            <w:tcW w:type="dxa" w:w="45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Clustered runtime (Molecule) + resilient edge</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NFR-02</w:t>
            </w:r>
          </w:p>
        </w:tc>
        <w:tc>
          <w:tcPr>
            <w:tcW w:type="dxa" w:w="3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Disaster recovery (RTO/RPO to be set)</w:t>
            </w:r>
          </w:p>
        </w:tc>
        <w:tc>
          <w:tcPr>
            <w:tcW w:type="dxa" w:w="45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Secondary runtime + config replication</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NFR-03</w:t>
            </w:r>
          </w:p>
        </w:tc>
        <w:tc>
          <w:tcPr>
            <w:tcW w:type="dxa" w:w="3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Scalability under peak batch</w:t>
            </w:r>
          </w:p>
        </w:tc>
        <w:tc>
          <w:tcPr>
            <w:tcW w:type="dxa" w:w="45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Elastic cloud components + horizontal Atoms</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NFR-04</w:t>
            </w:r>
          </w:p>
        </w:tc>
        <w:tc>
          <w:tcPr>
            <w:tcW w:type="dxa" w:w="3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Security &amp; data protection (OFFICIAL)</w:t>
            </w:r>
          </w:p>
        </w:tc>
        <w:tc>
          <w:tcPr>
            <w:tcW w:type="dxa" w:w="45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Encryption, RBAC, segregation, key custody</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NFR-05</w:t>
            </w:r>
          </w:p>
        </w:tc>
        <w:tc>
          <w:tcPr>
            <w:tcW w:type="dxa" w:w="3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Auditability &amp; retention</w:t>
            </w:r>
          </w:p>
        </w:tc>
        <w:tc>
          <w:tcPr>
            <w:tcW w:type="dxa" w:w="45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Immutable transfer log + long-term archive</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NFR-06</w:t>
            </w:r>
          </w:p>
        </w:tc>
        <w:tc>
          <w:tcPr>
            <w:tcW w:type="dxa" w:w="3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Observability</w:t>
            </w:r>
          </w:p>
        </w:tc>
        <w:tc>
          <w:tcPr>
            <w:tcW w:type="dxa" w:w="45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OpenTelemetry export to SIEM</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NFR-07</w:t>
            </w:r>
          </w:p>
        </w:tc>
        <w:tc>
          <w:tcPr>
            <w:tcW w:type="dxa" w:w="3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Data residency (UK) for OFFICIAL</w:t>
            </w:r>
          </w:p>
        </w:tc>
        <w:tc>
          <w:tcPr>
            <w:tcW w:type="dxa" w:w="45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Hybrid: payload on-prem; confirm control-plane region</w:t>
            </w:r>
          </w:p>
        </w:tc>
      </w:tr>
    </w:tbl>
    <w:p>
      <w:r>
        <w:br w:type="page"/>
      </w:r>
    </w:p>
    <w:p>
      <w:pPr>
        <w:pStyle w:val="Heading1"/>
        <w:spacing w:after="120" w:before="260"/>
      </w:pPr>
      <w:r>
        <w:rPr>
          <w:rFonts w:ascii="Calibri" w:cs="Calibri" w:eastAsia="Calibri" w:hAnsi="Calibri"/>
          <w:b/>
          <w:bCs/>
          <w:color w:val="003D9E"/>
          <w:sz w:val="30"/>
          <w:szCs w:val="30"/>
        </w:rPr>
        <w:t xml:space="preserve">6  Boomi MFT capabilities (Thru)</w:t>
      </w:r>
    </w:p>
    <w:p>
      <w:pPr>
        <w:spacing w:after="120" w:before="0" w:line="276"/>
      </w:pPr>
      <w:r>
        <w:rPr>
          <w:rFonts w:ascii="Calibri" w:cs="Calibri" w:eastAsia="Calibri" w:hAnsi="Calibri"/>
          <w:color w:val="12161C"/>
          <w:sz w:val="21"/>
          <w:szCs w:val="21"/>
        </w:rPr>
        <w:t xml:space="preserve">Boomi MFT is delivered as part of the Boomi Enterprise Platform. It is a storage-based, cloud-native MFT service (from the Thru acquisition) that provides persistence, scheduling, fault tolerance, monitoring, audit logging and security for file-based data exchange, and integrates directly with Boomi Integration processes so that file flows and data-processing flows are managed together.</w:t>
      </w:r>
    </w:p>
    <w:p>
      <w:pPr>
        <w:pStyle w:val="Heading2"/>
        <w:spacing w:after="100" w:before="200"/>
      </w:pPr>
      <w:r>
        <w:rPr>
          <w:rFonts w:ascii="Calibri" w:cs="Calibri" w:eastAsia="Calibri" w:hAnsi="Calibri"/>
          <w:b/>
          <w:bCs/>
          <w:color w:val="12161C"/>
          <w:sz w:val="25"/>
          <w:szCs w:val="25"/>
        </w:rPr>
        <w:t xml:space="preserve">6.1  Core capabilities</w:t>
      </w:r>
    </w:p>
    <w:p>
      <w:pPr>
        <w:pStyle w:val="ListParagraph"/>
        <w:numPr>
          <w:ilvl w:val="0"/>
          <w:numId w:val="1"/>
        </w:numPr>
        <w:spacing w:after="60" w:line="268"/>
      </w:pPr>
      <w:r>
        <w:rPr>
          <w:rFonts w:ascii="Calibri" w:cs="Calibri" w:eastAsia="Calibri" w:hAnsi="Calibri"/>
          <w:color w:val="12161C"/>
          <w:sz w:val="21"/>
          <w:szCs w:val="21"/>
        </w:rPr>
        <w:t xml:space="preserve">Protocols &amp; endpoints: SFTP, FTPS and AS2 endpoints, organised under Organizations → Endpoints → Flows; the MFT SFTP server operates on port 22 with full SSH authentication.</w:t>
      </w:r>
    </w:p>
    <w:p>
      <w:pPr>
        <w:pStyle w:val="ListParagraph"/>
        <w:numPr>
          <w:ilvl w:val="0"/>
          <w:numId w:val="1"/>
        </w:numPr>
        <w:spacing w:after="60" w:line="268"/>
      </w:pPr>
      <w:r>
        <w:rPr>
          <w:rFonts w:ascii="Calibri" w:cs="Calibri" w:eastAsia="Calibri" w:hAnsi="Calibri"/>
          <w:color w:val="12161C"/>
          <w:sz w:val="21"/>
          <w:szCs w:val="21"/>
        </w:rPr>
        <w:t xml:space="preserve">Trading-partner connectivity: partner/community model for onboarding external parties; Boomi is extending its unified trading-partner framework to MFT.</w:t>
      </w:r>
    </w:p>
    <w:p>
      <w:pPr>
        <w:pStyle w:val="ListParagraph"/>
        <w:numPr>
          <w:ilvl w:val="0"/>
          <w:numId w:val="1"/>
        </w:numPr>
        <w:spacing w:after="60" w:line="268"/>
      </w:pPr>
      <w:r>
        <w:rPr>
          <w:rFonts w:ascii="Calibri" w:cs="Calibri" w:eastAsia="Calibri" w:hAnsi="Calibri"/>
          <w:color w:val="12161C"/>
          <w:sz w:val="21"/>
          <w:szCs w:val="21"/>
        </w:rPr>
        <w:t xml:space="preserve">Persistence &amp; guaranteed delivery: files are persisted with automatic retry and fault tolerance so transfers survive transient failures.</w:t>
      </w:r>
    </w:p>
    <w:p>
      <w:pPr>
        <w:pStyle w:val="ListParagraph"/>
        <w:numPr>
          <w:ilvl w:val="0"/>
          <w:numId w:val="1"/>
        </w:numPr>
        <w:spacing w:after="60" w:line="268"/>
      </w:pPr>
      <w:r>
        <w:rPr>
          <w:rFonts w:ascii="Calibri" w:cs="Calibri" w:eastAsia="Calibri" w:hAnsi="Calibri"/>
          <w:color w:val="12161C"/>
          <w:sz w:val="21"/>
          <w:szCs w:val="21"/>
        </w:rPr>
        <w:t xml:space="preserve">Event-driven integration: file arrival can trigger a Boomi Integration process for validation, transformation and routing (the MFT Connector bridges file flows and processing flows).</w:t>
      </w:r>
    </w:p>
    <w:p>
      <w:pPr>
        <w:pStyle w:val="ListParagraph"/>
        <w:numPr>
          <w:ilvl w:val="0"/>
          <w:numId w:val="1"/>
        </w:numPr>
        <w:spacing w:after="60" w:line="268"/>
      </w:pPr>
      <w:r>
        <w:rPr>
          <w:rFonts w:ascii="Calibri" w:cs="Calibri" w:eastAsia="Calibri" w:hAnsi="Calibri"/>
          <w:color w:val="12161C"/>
          <w:sz w:val="21"/>
          <w:szCs w:val="21"/>
        </w:rPr>
        <w:t xml:space="preserve">Security: PGP encryption/decryption including ASCII-armor (.asc); TLS/SSH in transit; RBAC on the platform.</w:t>
      </w:r>
    </w:p>
    <w:p>
      <w:pPr>
        <w:pStyle w:val="ListParagraph"/>
        <w:numPr>
          <w:ilvl w:val="0"/>
          <w:numId w:val="1"/>
        </w:numPr>
        <w:spacing w:after="60" w:line="268"/>
      </w:pPr>
      <w:r>
        <w:rPr>
          <w:rFonts w:ascii="Calibri" w:cs="Calibri" w:eastAsia="Calibri" w:hAnsi="Calibri"/>
          <w:color w:val="12161C"/>
          <w:sz w:val="21"/>
          <w:szCs w:val="21"/>
        </w:rPr>
        <w:t xml:space="preserve">In-flight file handling: TAR archive/extract (with optional compression) directly in Flow Endpoints; filename-pattern matching and post-actions.</w:t>
      </w:r>
    </w:p>
    <w:p>
      <w:pPr>
        <w:pStyle w:val="ListParagraph"/>
        <w:numPr>
          <w:ilvl w:val="0"/>
          <w:numId w:val="1"/>
        </w:numPr>
        <w:spacing w:after="60" w:line="268"/>
      </w:pPr>
      <w:r>
        <w:rPr>
          <w:rFonts w:ascii="Calibri" w:cs="Calibri" w:eastAsia="Calibri" w:hAnsi="Calibri"/>
          <w:color w:val="12161C"/>
          <w:sz w:val="21"/>
          <w:szCs w:val="21"/>
        </w:rPr>
        <w:t xml:space="preserve">Tracking &amp; audit: end-to-end visibility of every transfer with delivery confirmation and audit logging — a single source of truth for all file movement.</w:t>
      </w:r>
    </w:p>
    <w:p>
      <w:pPr>
        <w:pStyle w:val="ListParagraph"/>
        <w:numPr>
          <w:ilvl w:val="0"/>
          <w:numId w:val="1"/>
        </w:numPr>
        <w:spacing w:after="60" w:line="268"/>
      </w:pPr>
      <w:r>
        <w:rPr>
          <w:rFonts w:ascii="Calibri" w:cs="Calibri" w:eastAsia="Calibri" w:hAnsi="Calibri"/>
          <w:color w:val="12161C"/>
          <w:sz w:val="21"/>
          <w:szCs w:val="21"/>
        </w:rPr>
        <w:t xml:space="preserve">Scheduling &amp; automation: time-based automated file transfer with schedule history.</w:t>
      </w:r>
    </w:p>
    <w:p>
      <w:pPr>
        <w:pStyle w:val="ListParagraph"/>
        <w:numPr>
          <w:ilvl w:val="0"/>
          <w:numId w:val="1"/>
        </w:numPr>
        <w:spacing w:after="60" w:line="268"/>
      </w:pPr>
      <w:r>
        <w:rPr>
          <w:rFonts w:ascii="Calibri" w:cs="Calibri" w:eastAsia="Calibri" w:hAnsi="Calibri"/>
          <w:color w:val="12161C"/>
          <w:sz w:val="21"/>
          <w:szCs w:val="21"/>
        </w:rPr>
        <w:t xml:space="preserve">Observability: OpenTelemetry export of metrics, logs and execution traces to external monitoring tools, plus runtime heartbeat/health telemetry.</w:t>
      </w:r>
    </w:p>
    <w:p>
      <w:pPr>
        <w:pStyle w:val="ListParagraph"/>
        <w:numPr>
          <w:ilvl w:val="0"/>
          <w:numId w:val="1"/>
        </w:numPr>
        <w:spacing w:after="60" w:line="268"/>
      </w:pPr>
      <w:r>
        <w:rPr>
          <w:rFonts w:ascii="Calibri" w:cs="Calibri" w:eastAsia="Calibri" w:hAnsi="Calibri"/>
          <w:color w:val="12161C"/>
          <w:sz w:val="21"/>
          <w:szCs w:val="21"/>
        </w:rPr>
        <w:t xml:space="preserve">Hybrid runtime: MFT cloud components, MFT runtimes deployable on customer premises, and the MFT Connector inside integration processes — a distributed hybrid architecture.</w:t>
      </w:r>
    </w:p>
    <w:tbl>
      <w:tblPr>
        <w:tblW w:type="dxa" w:w="9026"/>
        <w:tblBorders>
          <w:top w:val="none"/>
          <w:left w:val="single" w:color="8A5A0A" w:sz="18"/>
          <w:bottom w:val="none"/>
          <w:right w:val="none"/>
          <w:insideH w:val="none"/>
          <w:insideV w:val="none"/>
        </w:tblBorders>
      </w:tblPr>
      <w:tblGrid>
        <w:gridCol w:w="9026"/>
      </w:tblGrid>
      <w:tr>
        <w:tc>
          <w:tcPr>
            <w:tcW w:type="dxa" w:w="9026"/>
            <w:shd w:fill="FFF8E6" w:color="auto" w:val="clear"/>
            <w:tcMar>
              <w:top w:type="dxa" w:w="100"/>
              <w:left w:type="dxa" w:w="160"/>
              <w:bottom w:type="dxa" w:w="100"/>
              <w:right w:type="dxa" w:w="140"/>
            </w:tcMar>
          </w:tcPr>
          <w:p>
            <w:pPr>
              <w:spacing w:after="40"/>
            </w:pPr>
            <w:r>
              <w:rPr>
                <w:rFonts w:ascii="Calibri" w:cs="Calibri" w:eastAsia="Calibri" w:hAnsi="Calibri"/>
                <w:b/>
                <w:bCs/>
                <w:color w:val="8A5A0A"/>
                <w:sz w:val="20"/>
                <w:szCs w:val="20"/>
              </w:rPr>
              <w:t xml:space="preserve">Recent platform movement (validate against the live release)</w:t>
            </w:r>
          </w:p>
          <w:p>
            <w:pPr>
              <w:spacing w:after="20" w:line="264"/>
            </w:pPr>
            <w:r>
              <w:rPr>
                <w:rFonts w:ascii="Calibri" w:cs="Calibri" w:eastAsia="Calibri" w:hAnsi="Calibri"/>
                <w:color w:val="12161C"/>
                <w:sz w:val="19"/>
                <w:szCs w:val="19"/>
              </w:rPr>
              <w:t xml:space="preserve">The March 2026 release added TAR archive support, PGP ASCII-armor, continued (deprecated) SFTP DSA host-key support for legacy partners, automated data retention (schedule history 3 months, audit logs 12 months), and MFT runtime performance/health-telemetry improvements.</w:t>
            </w:r>
          </w:p>
          <w:p>
            <w:pPr>
              <w:spacing w:after="20" w:line="264"/>
            </w:pPr>
            <w:r>
              <w:rPr>
                <w:rFonts w:ascii="Calibri" w:cs="Calibri" w:eastAsia="Calibri" w:hAnsi="Calibri"/>
                <w:color w:val="12161C"/>
                <w:sz w:val="19"/>
                <w:szCs w:val="19"/>
              </w:rPr>
              <w:t xml:space="preserve">The Q2 2026 roadmap focuses on scaling the distributed hybrid MFT architecture and extending the trading-partner framework and file-flow extensibility — confirm the exact GA feature set at build time.</w:t>
            </w:r>
          </w:p>
        </w:tc>
      </w:tr>
    </w:tbl>
    <w:p>
      <w:r>
        <w:br w:type="page"/>
      </w:r>
    </w:p>
    <w:p>
      <w:pPr>
        <w:pStyle w:val="Heading1"/>
        <w:spacing w:after="120" w:before="260"/>
      </w:pPr>
      <w:r>
        <w:rPr>
          <w:rFonts w:ascii="Calibri" w:cs="Calibri" w:eastAsia="Calibri" w:hAnsi="Calibri"/>
          <w:b/>
          <w:bCs/>
          <w:color w:val="003D9E"/>
          <w:sz w:val="30"/>
          <w:szCs w:val="30"/>
        </w:rPr>
        <w:t xml:space="preserve">7  Solution architecture</w:t>
      </w:r>
    </w:p>
    <w:p>
      <w:pPr>
        <w:spacing w:after="120" w:before="0" w:line="276"/>
      </w:pPr>
      <w:r>
        <w:rPr>
          <w:rFonts w:ascii="Calibri" w:cs="Calibri" w:eastAsia="Calibri" w:hAnsi="Calibri"/>
          <w:color w:val="12161C"/>
          <w:sz w:val="21"/>
          <w:szCs w:val="21"/>
        </w:rPr>
        <w:t xml:space="preserve">The architecture is organised into five security zones plus a governance rail. The diagram below is the logical/deployment view; the editable source (draw.io) accompanies this document.</w:t>
      </w:r>
    </w:p>
    <w:p>
      <w:pPr>
        <w:spacing w:after="40" w:before="6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19575"/>
                    </a:xfrm>
                    <a:prstGeom prst="rect">
                      <a:avLst/>
                    </a:prstGeom>
                  </pic:spPr>
                </pic:pic>
              </a:graphicData>
            </a:graphic>
          </wp:inline>
        </w:drawing>
      </w:r>
    </w:p>
    <w:p>
      <w:pPr>
        <w:spacing w:after="160"/>
        <w:jc w:val="center"/>
      </w:pPr>
      <w:r>
        <w:rPr>
          <w:rFonts w:ascii="Calibri" w:cs="Calibri" w:eastAsia="Calibri" w:hAnsi="Calibri"/>
          <w:i/>
          <w:iCs/>
          <w:color w:val="5A6472"/>
          <w:sz w:val="18"/>
          <w:szCs w:val="18"/>
        </w:rPr>
        <w:t xml:space="preserve">Figure 1 — MFT on Boomi: five-zone logical/deployment architecture</w:t>
      </w:r>
    </w:p>
    <w:p>
      <w:pPr>
        <w:pStyle w:val="Heading2"/>
        <w:spacing w:after="100" w:before="200"/>
      </w:pPr>
      <w:r>
        <w:rPr>
          <w:rFonts w:ascii="Calibri" w:cs="Calibri" w:eastAsia="Calibri" w:hAnsi="Calibri"/>
          <w:b/>
          <w:bCs/>
          <w:color w:val="12161C"/>
          <w:sz w:val="25"/>
          <w:szCs w:val="25"/>
        </w:rPr>
        <w:t xml:space="preserve">7.1  Zones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400"/>
        <w:gridCol w:w="6626"/>
      </w:tblGrid>
      <w:tr>
        <w:trPr>
          <w:tblHeader/>
        </w:trPr>
        <w:tc>
          <w:tcPr>
            <w:tcW w:type="dxa" w:w="24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Zone</w:t>
            </w:r>
          </w:p>
        </w:tc>
        <w:tc>
          <w:tcPr>
            <w:tcW w:type="dxa" w:w="66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Contents &amp; purpose</w:t>
            </w:r>
          </w:p>
        </w:tc>
      </w:tr>
      <w:tr>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1 — Trading partners</w:t>
            </w:r>
          </w:p>
        </w:tc>
        <w:tc>
          <w:tcPr>
            <w:tcW w:type="dxa" w:w="6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OGDs, suppliers, agents, banks and partner SFTP servers. Untrusted; internet-facing.</w:t>
            </w:r>
          </w:p>
        </w:tc>
      </w:tr>
      <w:tr>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2 — Edge / DMZ</w:t>
            </w:r>
          </w:p>
        </w:tc>
        <w:tc>
          <w:tcPr>
            <w:tcW w:type="dxa" w:w="6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Load balancer/WAF and Boomi MFT cloud components (protocol listeners, partner endpoints). Protocol termination; no persistent payload storage.</w:t>
            </w:r>
          </w:p>
        </w:tc>
      </w:tr>
      <w:tr>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3 — Boomi control plane (SaaS)</w:t>
            </w:r>
          </w:p>
        </w:tc>
        <w:tc>
          <w:tcPr>
            <w:tcW w:type="dxa" w:w="6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 management (Orgs/Endpoints/Flows), tracking/audit, scheduling, key &amp; certificate store, observability, RBAC. Confirm UK region for OFFICIAL.</w:t>
            </w:r>
          </w:p>
        </w:tc>
      </w:tr>
      <w:tr>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4 — Runtime (trusted)</w:t>
            </w:r>
          </w:p>
        </w:tc>
        <w:tc>
          <w:tcPr>
            <w:tcW w:type="dxa" w:w="6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Customer-managed MFT runtimes (on-prem/hybrid), Molecule HA cluster, the generic MFT engine process, the MFT Connector, and the config/routing DB. Payload stays in boundary.</w:t>
            </w:r>
          </w:p>
        </w:tc>
      </w:tr>
      <w:tr>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5 — Data zone</w:t>
            </w:r>
          </w:p>
        </w:tc>
        <w:tc>
          <w:tcPr>
            <w:tcW w:type="dxa" w:w="6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Systems of record (ETMP, NPS, DES, ChRIS, HoD) and WebMethods during coexistence.</w:t>
            </w:r>
          </w:p>
        </w:tc>
      </w:tr>
    </w:tbl>
    <w:p>
      <w:pPr>
        <w:spacing w:after="80"/>
      </w:pPr>
      <w:r>
        <w:rPr>
          <w:rFonts w:ascii="Calibri" w:cs="Calibri" w:eastAsia="Calibri" w:hAnsi="Calibri"/>
          <w:color w:val="12161C"/>
          <w:sz w:val="21"/>
          <w:szCs w:val="21"/>
        </w:rPr>
        <w:t xml:space="preserve"/>
      </w:r>
    </w:p>
    <w:p>
      <w:pPr>
        <w:pStyle w:val="Heading2"/>
        <w:spacing w:after="100" w:before="200"/>
      </w:pPr>
      <w:r>
        <w:rPr>
          <w:rFonts w:ascii="Calibri" w:cs="Calibri" w:eastAsia="Calibri" w:hAnsi="Calibri"/>
          <w:b/>
          <w:bCs/>
          <w:color w:val="12161C"/>
          <w:sz w:val="25"/>
          <w:szCs w:val="25"/>
        </w:rPr>
        <w:t xml:space="preserve">7.2  Config over construction — the generic engine</w:t>
      </w:r>
    </w:p>
    <w:p>
      <w:pPr>
        <w:spacing w:after="120" w:before="0" w:line="276"/>
      </w:pPr>
      <w:r>
        <w:rPr>
          <w:rFonts w:ascii="Calibri" w:cs="Calibri" w:eastAsia="Calibri" w:hAnsi="Calibri"/>
          <w:color w:val="12161C"/>
          <w:sz w:val="21"/>
          <w:szCs w:val="21"/>
        </w:rPr>
        <w:t xml:space="preserve">A single generic MFT engine process is the only file-moving component. Each approved interface is expressed as a configuration row in the routing table: source and target endpoints, protocol, PGP key references, schedule, filename pattern, and post-actions. Onboarding a new interface adds a row; it never adds a component. This is what makes the estate governable at scale and is validated against every capability in this design.</w:t>
      </w:r>
    </w:p>
    <w:tbl>
      <w:tblPr>
        <w:tblW w:type="dxa" w:w="9026"/>
        <w:tblBorders>
          <w:top w:val="none"/>
          <w:left w:val="single" w:color="B3261E" w:sz="18"/>
          <w:bottom w:val="none"/>
          <w:right w:val="none"/>
          <w:insideH w:val="none"/>
          <w:insideV w:val="none"/>
        </w:tblBorders>
      </w:tblPr>
      <w:tblGrid>
        <w:gridCol w:w="9026"/>
      </w:tblGrid>
      <w:tr>
        <w:tc>
          <w:tcPr>
            <w:tcW w:type="dxa" w:w="9026"/>
            <w:shd w:fill="FDECEA" w:color="auto" w:val="clear"/>
            <w:tcMar>
              <w:top w:type="dxa" w:w="100"/>
              <w:left w:type="dxa" w:w="160"/>
              <w:bottom w:type="dxa" w:w="100"/>
              <w:right w:type="dxa" w:w="140"/>
            </w:tcMar>
          </w:tcPr>
          <w:p>
            <w:pPr>
              <w:spacing w:after="40"/>
            </w:pPr>
            <w:r>
              <w:rPr>
                <w:rFonts w:ascii="Calibri" w:cs="Calibri" w:eastAsia="Calibri" w:hAnsi="Calibri"/>
                <w:b/>
                <w:bCs/>
                <w:color w:val="B3261E"/>
                <w:sz w:val="20"/>
                <w:szCs w:val="20"/>
              </w:rPr>
              <w:t xml:space="preserve">Design guardrail</w:t>
            </w:r>
          </w:p>
          <w:p>
            <w:pPr>
              <w:spacing w:after="20" w:line="264"/>
            </w:pPr>
            <w:r>
              <w:rPr>
                <w:rFonts w:ascii="Calibri" w:cs="Calibri" w:eastAsia="Calibri" w:hAnsi="Calibri"/>
                <w:color w:val="12161C"/>
                <w:sz w:val="19"/>
                <w:szCs w:val="19"/>
              </w:rPr>
              <w:t xml:space="preserve">Any requirement that cannot be expressed as configuration (e.g. bespoke content-based routing or complex per-file transformation) must be raised as a deviation to the Design Authority, with a named owner, before it is built — it is the point at which “construction” risks creeping back in.</w:t>
            </w:r>
          </w:p>
        </w:tc>
      </w:tr>
    </w:tbl>
    <w:p>
      <w:pPr>
        <w:pStyle w:val="Heading2"/>
        <w:spacing w:after="100" w:before="200"/>
      </w:pPr>
      <w:r>
        <w:rPr>
          <w:rFonts w:ascii="Calibri" w:cs="Calibri" w:eastAsia="Calibri" w:hAnsi="Calibri"/>
          <w:b/>
          <w:bCs/>
          <w:color w:val="12161C"/>
          <w:sz w:val="25"/>
          <w:szCs w:val="25"/>
        </w:rPr>
        <w:t xml:space="preserve">7.3  Data flows</w:t>
      </w:r>
    </w:p>
    <w:p>
      <w:pPr>
        <w:pStyle w:val="Heading3"/>
        <w:spacing w:after="80" w:before="160"/>
      </w:pPr>
      <w:r>
        <w:rPr>
          <w:rFonts w:ascii="Calibri" w:cs="Calibri" w:eastAsia="Calibri" w:hAnsi="Calibri"/>
          <w:b/>
          <w:bCs/>
          <w:color w:val="5A6472"/>
          <w:sz w:val="22"/>
          <w:szCs w:val="22"/>
        </w:rPr>
        <w:t xml:space="preserve">Inbound (partner → estate)</w:t>
      </w:r>
    </w:p>
    <w:p>
      <w:pPr>
        <w:pStyle w:val="ListParagraph"/>
        <w:numPr>
          <w:ilvl w:val="0"/>
          <w:numId w:val="1"/>
        </w:numPr>
        <w:spacing w:after="60" w:line="268"/>
      </w:pPr>
      <w:r>
        <w:rPr>
          <w:rFonts w:ascii="Calibri" w:cs="Calibri" w:eastAsia="Calibri" w:hAnsi="Calibri"/>
          <w:color w:val="12161C"/>
          <w:sz w:val="21"/>
          <w:szCs w:val="21"/>
        </w:rPr>
        <w:t xml:space="preserve">Partner pushes to (or the engine pulls from) an MFT SFTP/FTPS/AS2 endpoint at the edge; the partner is authenticated (SSH key / certificate).</w:t>
      </w:r>
    </w:p>
    <w:p>
      <w:pPr>
        <w:pStyle w:val="ListParagraph"/>
        <w:numPr>
          <w:ilvl w:val="0"/>
          <w:numId w:val="1"/>
        </w:numPr>
        <w:spacing w:after="60" w:line="268"/>
      </w:pPr>
      <w:r>
        <w:rPr>
          <w:rFonts w:ascii="Calibri" w:cs="Calibri" w:eastAsia="Calibri" w:hAnsi="Calibri"/>
          <w:color w:val="12161C"/>
          <w:sz w:val="21"/>
          <w:szCs w:val="21"/>
        </w:rPr>
        <w:t xml:space="preserve">The file lands in a transient, encrypted managed landing zone; a file-arrival event triggers the generic engine.</w:t>
      </w:r>
    </w:p>
    <w:p>
      <w:pPr>
        <w:pStyle w:val="ListParagraph"/>
        <w:numPr>
          <w:ilvl w:val="0"/>
          <w:numId w:val="1"/>
        </w:numPr>
        <w:spacing w:after="60" w:line="268"/>
      </w:pPr>
      <w:r>
        <w:rPr>
          <w:rFonts w:ascii="Calibri" w:cs="Calibri" w:eastAsia="Calibri" w:hAnsi="Calibri"/>
          <w:color w:val="12161C"/>
          <w:sz w:val="21"/>
          <w:szCs w:val="21"/>
        </w:rPr>
        <w:t xml:space="preserve">The engine reads the matching config row, decrypts (PGP), validates, optionally de-archives (TAR), routes/transforms, and delivers to the target system via connector.</w:t>
      </w:r>
    </w:p>
    <w:p>
      <w:pPr>
        <w:pStyle w:val="ListParagraph"/>
        <w:numPr>
          <w:ilvl w:val="0"/>
          <w:numId w:val="1"/>
        </w:numPr>
        <w:spacing w:after="60" w:line="268"/>
      </w:pPr>
      <w:r>
        <w:rPr>
          <w:rFonts w:ascii="Calibri" w:cs="Calibri" w:eastAsia="Calibri" w:hAnsi="Calibri"/>
          <w:color w:val="12161C"/>
          <w:sz w:val="21"/>
          <w:szCs w:val="21"/>
        </w:rPr>
        <w:t xml:space="preserve">Delivery is confirmed; the transfer, receipt and audit record are written to the control-plane tracking log.</w:t>
      </w:r>
    </w:p>
    <w:p>
      <w:pPr>
        <w:pStyle w:val="Heading3"/>
        <w:spacing w:after="80" w:before="160"/>
      </w:pPr>
      <w:r>
        <w:rPr>
          <w:rFonts w:ascii="Calibri" w:cs="Calibri" w:eastAsia="Calibri" w:hAnsi="Calibri"/>
          <w:b/>
          <w:bCs/>
          <w:color w:val="5A6472"/>
          <w:sz w:val="22"/>
          <w:szCs w:val="22"/>
        </w:rPr>
        <w:t xml:space="preserve">Outbound (estate → partner)</w:t>
      </w:r>
    </w:p>
    <w:p>
      <w:pPr>
        <w:pStyle w:val="ListParagraph"/>
        <w:numPr>
          <w:ilvl w:val="0"/>
          <w:numId w:val="1"/>
        </w:numPr>
        <w:spacing w:after="60" w:line="268"/>
      </w:pPr>
      <w:r>
        <w:rPr>
          <w:rFonts w:ascii="Calibri" w:cs="Calibri" w:eastAsia="Calibri" w:hAnsi="Calibri"/>
          <w:color w:val="12161C"/>
          <w:sz w:val="21"/>
          <w:szCs w:val="21"/>
        </w:rPr>
        <w:t xml:space="preserve">A source system drops a file (or the engine polls on schedule); the engine picks up the config row.</w:t>
      </w:r>
    </w:p>
    <w:p>
      <w:pPr>
        <w:pStyle w:val="ListParagraph"/>
        <w:numPr>
          <w:ilvl w:val="0"/>
          <w:numId w:val="1"/>
        </w:numPr>
        <w:spacing w:after="60" w:line="268"/>
      </w:pPr>
      <w:r>
        <w:rPr>
          <w:rFonts w:ascii="Calibri" w:cs="Calibri" w:eastAsia="Calibri" w:hAnsi="Calibri"/>
          <w:color w:val="12161C"/>
          <w:sz w:val="21"/>
          <w:szCs w:val="21"/>
        </w:rPr>
        <w:t xml:space="preserve">The engine encrypts (PGP/ASCII-armor as configured), optionally archives (TAR), and delivers to the partner endpoint.</w:t>
      </w:r>
    </w:p>
    <w:p>
      <w:pPr>
        <w:pStyle w:val="ListParagraph"/>
        <w:numPr>
          <w:ilvl w:val="0"/>
          <w:numId w:val="1"/>
        </w:numPr>
        <w:spacing w:after="60" w:line="268"/>
      </w:pPr>
      <w:r>
        <w:rPr>
          <w:rFonts w:ascii="Calibri" w:cs="Calibri" w:eastAsia="Calibri" w:hAnsi="Calibri"/>
          <w:color w:val="12161C"/>
          <w:sz w:val="21"/>
          <w:szCs w:val="21"/>
        </w:rPr>
        <w:t xml:space="preserve">A delivery receipt is captured and the audit record written; failures are retried and alerted.</w:t>
      </w:r>
    </w:p>
    <w:p>
      <w:pPr>
        <w:pStyle w:val="Heading2"/>
        <w:spacing w:after="100" w:before="200"/>
      </w:pPr>
      <w:r>
        <w:rPr>
          <w:rFonts w:ascii="Calibri" w:cs="Calibri" w:eastAsia="Calibri" w:hAnsi="Calibri"/>
          <w:b/>
          <w:bCs/>
          <w:color w:val="12161C"/>
          <w:sz w:val="25"/>
          <w:szCs w:val="25"/>
        </w:rPr>
        <w:t xml:space="preserve">7.4  Key and certificate management</w:t>
      </w:r>
    </w:p>
    <w:p>
      <w:pPr>
        <w:spacing w:after="120" w:before="0" w:line="276"/>
      </w:pPr>
      <w:r>
        <w:rPr>
          <w:rFonts w:ascii="Calibri" w:cs="Calibri" w:eastAsia="Calibri" w:hAnsi="Calibri"/>
          <w:color w:val="12161C"/>
          <w:sz w:val="21"/>
          <w:szCs w:val="21"/>
        </w:rPr>
        <w:t xml:space="preserve">SSH keys, PGP keypairs and TLS certificates are held in the platform key/certificate store and referenced by configuration. Custody, rotation and integration with an enterprise HSM/KMS are to be confirmed as a security dependency (Section 14).</w:t>
      </w:r>
    </w:p>
    <w:p>
      <w:r>
        <w:br w:type="page"/>
      </w:r>
    </w:p>
    <w:p>
      <w:pPr>
        <w:pStyle w:val="Heading1"/>
        <w:spacing w:after="120" w:before="260"/>
      </w:pPr>
      <w:r>
        <w:rPr>
          <w:rFonts w:ascii="Calibri" w:cs="Calibri" w:eastAsia="Calibri" w:hAnsi="Calibri"/>
          <w:b/>
          <w:bCs/>
          <w:color w:val="003D9E"/>
          <w:sz w:val="30"/>
          <w:szCs w:val="30"/>
        </w:rPr>
        <w:t xml:space="preserve">8  Integration with the HMRC estate</w:t>
      </w:r>
    </w:p>
    <w:p>
      <w:pPr>
        <w:pStyle w:val="Heading2"/>
        <w:spacing w:after="100" w:before="200"/>
      </w:pPr>
      <w:r>
        <w:rPr>
          <w:rFonts w:ascii="Calibri" w:cs="Calibri" w:eastAsia="Calibri" w:hAnsi="Calibri"/>
          <w:b/>
          <w:bCs/>
          <w:color w:val="12161C"/>
          <w:sz w:val="25"/>
          <w:szCs w:val="25"/>
        </w:rPr>
        <w:t xml:space="preserve">8.1  Connectivity to systems of record</w:t>
      </w:r>
    </w:p>
    <w:p>
      <w:pPr>
        <w:spacing w:after="120" w:before="0" w:line="276"/>
      </w:pPr>
      <w:r>
        <w:rPr>
          <w:rFonts w:ascii="Calibri" w:cs="Calibri" w:eastAsia="Calibri" w:hAnsi="Calibri"/>
          <w:color w:val="12161C"/>
          <w:sz w:val="21"/>
          <w:szCs w:val="21"/>
        </w:rPr>
        <w:t xml:space="preserve">The generic engine reaches ETMP, NPS, DES, ChRIS and HoD services through Boomi connectors (SFTP, database, JMS/queue, HTTP) from the trusted runtime zone. Payloads remain within the boundary; only control/tracking metadata surfaces to the control plane.</w:t>
      </w:r>
    </w:p>
    <w:p>
      <w:pPr>
        <w:pStyle w:val="Heading2"/>
        <w:spacing w:after="100" w:before="200"/>
      </w:pPr>
      <w:r>
        <w:rPr>
          <w:rFonts w:ascii="Calibri" w:cs="Calibri" w:eastAsia="Calibri" w:hAnsi="Calibri"/>
          <w:b/>
          <w:bCs/>
          <w:color w:val="12161C"/>
          <w:sz w:val="25"/>
          <w:szCs w:val="25"/>
        </w:rPr>
        <w:t xml:space="preserve">8.2  WebMethods coexistence and decommission</w:t>
      </w:r>
    </w:p>
    <w:p>
      <w:pPr>
        <w:pStyle w:val="ListParagraph"/>
        <w:numPr>
          <w:ilvl w:val="0"/>
          <w:numId w:val="1"/>
        </w:numPr>
        <w:spacing w:after="60" w:line="268"/>
      </w:pPr>
      <w:r>
        <w:rPr>
          <w:rFonts w:ascii="Calibri" w:cs="Calibri" w:eastAsia="Calibri" w:hAnsi="Calibri"/>
          <w:color w:val="12161C"/>
          <w:sz w:val="21"/>
          <w:szCs w:val="21"/>
        </w:rPr>
        <w:t xml:space="preserve">During transition, Boomi MFT can consume from and deliver to WebMethods drop-zones, allowing interfaces to be migrated one configuration row at a time.</w:t>
      </w:r>
    </w:p>
    <w:p>
      <w:pPr>
        <w:pStyle w:val="ListParagraph"/>
        <w:numPr>
          <w:ilvl w:val="0"/>
          <w:numId w:val="1"/>
        </w:numPr>
        <w:spacing w:after="60" w:line="268"/>
      </w:pPr>
      <w:r>
        <w:rPr>
          <w:rFonts w:ascii="Calibri" w:cs="Calibri" w:eastAsia="Calibri" w:hAnsi="Calibri"/>
          <w:color w:val="12161C"/>
          <w:sz w:val="21"/>
          <w:szCs w:val="21"/>
        </w:rPr>
        <w:t xml:space="preserve">Each migrated interface is proven in parallel, then WebMethods is retired for that flow — a controlled, low-risk cutover with no big-bang.</w:t>
      </w:r>
    </w:p>
    <w:p>
      <w:pPr>
        <w:pStyle w:val="ListParagraph"/>
        <w:numPr>
          <w:ilvl w:val="0"/>
          <w:numId w:val="1"/>
        </w:numPr>
        <w:spacing w:after="60" w:line="268"/>
      </w:pPr>
      <w:r>
        <w:rPr>
          <w:rFonts w:ascii="Calibri" w:cs="Calibri" w:eastAsia="Calibri" w:hAnsi="Calibri"/>
          <w:color w:val="12161C"/>
          <w:sz w:val="21"/>
          <w:szCs w:val="21"/>
        </w:rPr>
        <w:t xml:space="preserve">There is no automated WebMethods-to-Boomi converter; migration is deliberate re-configuration against the generic engine (see gap G-12).</w:t>
      </w:r>
    </w:p>
    <w:p>
      <w:pPr>
        <w:pStyle w:val="Heading2"/>
        <w:spacing w:after="100" w:before="200"/>
      </w:pPr>
      <w:r>
        <w:rPr>
          <w:rFonts w:ascii="Calibri" w:cs="Calibri" w:eastAsia="Calibri" w:hAnsi="Calibri"/>
          <w:b/>
          <w:bCs/>
          <w:color w:val="12161C"/>
          <w:sz w:val="25"/>
          <w:szCs w:val="25"/>
        </w:rPr>
        <w:t xml:space="preserve">8.3  Intelligrator (self-service onboarding)</w:t>
      </w:r>
    </w:p>
    <w:p>
      <w:pPr>
        <w:spacing w:after="120" w:before="0" w:line="276"/>
      </w:pPr>
      <w:r>
        <w:rPr>
          <w:rFonts w:ascii="Calibri" w:cs="Calibri" w:eastAsia="Calibri" w:hAnsi="Calibri"/>
          <w:color w:val="12161C"/>
          <w:sz w:val="21"/>
          <w:szCs w:val="21"/>
        </w:rPr>
        <w:t xml:space="preserve">Intelligrator is the governed front door: an approved interface request results in a new configuration row written to the routing table consumed by the generic engine. Intelligrator enforces the approval gate and standards; it does not create Boomi components, preserving config-over-construction end to end.</w:t>
      </w:r>
    </w:p>
    <w:p>
      <w:pPr>
        <w:pStyle w:val="Heading2"/>
        <w:spacing w:after="100" w:before="200"/>
      </w:pPr>
      <w:r>
        <w:rPr>
          <w:rFonts w:ascii="Calibri" w:cs="Calibri" w:eastAsia="Calibri" w:hAnsi="Calibri"/>
          <w:b/>
          <w:bCs/>
          <w:color w:val="12161C"/>
          <w:sz w:val="25"/>
          <w:szCs w:val="25"/>
        </w:rPr>
        <w:t xml:space="preserve">8.4  Identity, monitoring and key custody</w:t>
      </w:r>
    </w:p>
    <w:p>
      <w:pPr>
        <w:pStyle w:val="ListParagraph"/>
        <w:numPr>
          <w:ilvl w:val="0"/>
          <w:numId w:val="1"/>
        </w:numPr>
        <w:spacing w:after="60" w:line="268"/>
      </w:pPr>
      <w:r>
        <w:rPr>
          <w:rFonts w:ascii="Calibri" w:cs="Calibri" w:eastAsia="Calibri" w:hAnsi="Calibri"/>
          <w:color w:val="12161C"/>
          <w:sz w:val="21"/>
          <w:szCs w:val="21"/>
        </w:rPr>
        <w:t xml:space="preserve">Operator/administrator access to the platform is via the enterprise IdP/SSO (a later programme phase); partner authentication is by SSH key / certificate.</w:t>
      </w:r>
    </w:p>
    <w:p>
      <w:pPr>
        <w:pStyle w:val="ListParagraph"/>
        <w:numPr>
          <w:ilvl w:val="0"/>
          <w:numId w:val="1"/>
        </w:numPr>
        <w:spacing w:after="60" w:line="268"/>
      </w:pPr>
      <w:r>
        <w:rPr>
          <w:rFonts w:ascii="Calibri" w:cs="Calibri" w:eastAsia="Calibri" w:hAnsi="Calibri"/>
          <w:color w:val="12161C"/>
          <w:sz w:val="21"/>
          <w:szCs w:val="21"/>
        </w:rPr>
        <w:t xml:space="preserve">Operational telemetry is exported via OpenTelemetry to the enterprise SIEM (e.g. Splunk).</w:t>
      </w:r>
    </w:p>
    <w:p>
      <w:pPr>
        <w:pStyle w:val="ListParagraph"/>
        <w:numPr>
          <w:ilvl w:val="0"/>
          <w:numId w:val="1"/>
        </w:numPr>
        <w:spacing w:after="60" w:line="268"/>
      </w:pPr>
      <w:r>
        <w:rPr>
          <w:rFonts w:ascii="Calibri" w:cs="Calibri" w:eastAsia="Calibri" w:hAnsi="Calibri"/>
          <w:color w:val="12161C"/>
          <w:sz w:val="21"/>
          <w:szCs w:val="21"/>
        </w:rPr>
        <w:t xml:space="preserve">Key material custody integrates with the enterprise HSM/KMS (to be confirmed).</w:t>
      </w:r>
    </w:p>
    <w:p>
      <w:r>
        <w:br w:type="page"/>
      </w:r>
    </w:p>
    <w:p>
      <w:pPr>
        <w:pStyle w:val="Heading1"/>
        <w:spacing w:after="120" w:before="260"/>
      </w:pPr>
      <w:r>
        <w:rPr>
          <w:rFonts w:ascii="Calibri" w:cs="Calibri" w:eastAsia="Calibri" w:hAnsi="Calibri"/>
          <w:b/>
          <w:bCs/>
          <w:color w:val="003D9E"/>
          <w:sz w:val="30"/>
          <w:szCs w:val="30"/>
        </w:rPr>
        <w:t xml:space="preserve">9  Feature and capability matrix</w:t>
      </w:r>
    </w:p>
    <w:p>
      <w:pPr>
        <w:spacing w:after="120" w:before="0" w:line="276"/>
      </w:pPr>
      <w:r>
        <w:rPr>
          <w:rFonts w:ascii="Calibri" w:cs="Calibri" w:eastAsia="Calibri" w:hAnsi="Calibri"/>
          <w:color w:val="12161C"/>
          <w:sz w:val="21"/>
          <w:szCs w:val="21"/>
        </w:rPr>
        <w:t xml:space="preserve">A fuller, filterable version is provided as the accompanying capability &amp; gap register (Excel). Maturity: ● GA/relied-upon · ◐ available, confirm fit · ○ roadmap/validate.</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500"/>
        <w:gridCol w:w="4826"/>
        <w:gridCol w:w="1700"/>
      </w:tblGrid>
      <w:tr>
        <w:trPr>
          <w:tblHeader/>
        </w:trPr>
        <w:tc>
          <w:tcPr>
            <w:tcW w:type="dxa" w:w="25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Capability</w:t>
            </w:r>
          </w:p>
        </w:tc>
        <w:tc>
          <w:tcPr>
            <w:tcW w:type="dxa" w:w="48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How it is used in the estate</w:t>
            </w:r>
          </w:p>
        </w:tc>
        <w:tc>
          <w:tcPr>
            <w:tcW w:type="dxa" w:w="17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Maturity</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SFTP / FTPS / AS2 endpoints</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Inbound/outbound with OGDs, agents, banks</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Trading-partner onboarding</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Config-driven partner/endpoint records</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8A5A0A"/>
                <w:sz w:val="19"/>
                <w:szCs w:val="19"/>
              </w:rPr>
              <w:t xml:space="preserve">◐ confirm</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Event-driven trigger</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File arrival kicks off engine/process</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Guaranteed delivery + retry</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Resilient transfers to systems of record</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PGP (incl. ASCII-armor)</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At-rest protection of OFFICIAL payloads</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TAR archive / extract</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Bundle/unbundle batch file sets</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Tracking &amp; audit log</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Single source of truth for all transfers</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Scheduling &amp; polling</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Batch windows and source polling</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OpenTelemetry observability</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Export to enterprise SIEM</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8A5A0A"/>
                <w:sz w:val="19"/>
                <w:szCs w:val="19"/>
              </w:rPr>
              <w:t xml:space="preserve">◐ confirm</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Hybrid on-prem runtime</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Keep OFFICIAL payload in boundary</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8A5A0A"/>
                <w:sz w:val="19"/>
                <w:szCs w:val="19"/>
              </w:rPr>
              <w:t xml:space="preserve">◐ confirm</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OFTP2 / AS4 / PeSIT</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Only if partners require them</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B3261E"/>
                <w:sz w:val="19"/>
                <w:szCs w:val="19"/>
              </w:rPr>
              <w:t xml:space="preserve">○ validate</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Long-term audit retention</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Beyond 12-month native default</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B3261E"/>
                <w:sz w:val="19"/>
                <w:szCs w:val="19"/>
              </w:rPr>
              <w:t xml:space="preserve">○ validate</w:t>
            </w:r>
          </w:p>
        </w:tc>
      </w:tr>
    </w:tbl>
    <w:p>
      <w:r>
        <w:br w:type="page"/>
      </w:r>
    </w:p>
    <w:p>
      <w:pPr>
        <w:pStyle w:val="Heading1"/>
        <w:spacing w:after="120" w:before="260"/>
      </w:pPr>
      <w:r>
        <w:rPr>
          <w:rFonts w:ascii="Calibri" w:cs="Calibri" w:eastAsia="Calibri" w:hAnsi="Calibri"/>
          <w:b/>
          <w:bCs/>
          <w:color w:val="003D9E"/>
          <w:sz w:val="30"/>
          <w:szCs w:val="30"/>
        </w:rPr>
        <w:t xml:space="preserve">10  Non-functional design</w:t>
      </w:r>
    </w:p>
    <w:p>
      <w:pPr>
        <w:pStyle w:val="Heading2"/>
        <w:spacing w:after="100" w:before="200"/>
      </w:pPr>
      <w:r>
        <w:rPr>
          <w:rFonts w:ascii="Calibri" w:cs="Calibri" w:eastAsia="Calibri" w:hAnsi="Calibri"/>
          <w:b/>
          <w:bCs/>
          <w:color w:val="12161C"/>
          <w:sz w:val="25"/>
          <w:szCs w:val="25"/>
        </w:rPr>
        <w:t xml:space="preserve">10.1  Availability &amp; resilience</w:t>
      </w:r>
    </w:p>
    <w:p>
      <w:pPr>
        <w:spacing w:after="120" w:before="0" w:line="276"/>
      </w:pPr>
      <w:r>
        <w:rPr>
          <w:rFonts w:ascii="Calibri" w:cs="Calibri" w:eastAsia="Calibri" w:hAnsi="Calibri"/>
          <w:color w:val="12161C"/>
          <w:sz w:val="21"/>
          <w:szCs w:val="21"/>
        </w:rPr>
        <w:t xml:space="preserve">The runtime is deployed as a clustered Boomi Molecule for high availability and fault tolerance; the edge is fronted by a load balancer. The MFT gateway HA topology is to be confirmed (Section 14).</w:t>
      </w:r>
    </w:p>
    <w:p>
      <w:pPr>
        <w:pStyle w:val="Heading2"/>
        <w:spacing w:after="100" w:before="200"/>
      </w:pPr>
      <w:r>
        <w:rPr>
          <w:rFonts w:ascii="Calibri" w:cs="Calibri" w:eastAsia="Calibri" w:hAnsi="Calibri"/>
          <w:b/>
          <w:bCs/>
          <w:color w:val="12161C"/>
          <w:sz w:val="25"/>
          <w:szCs w:val="25"/>
        </w:rPr>
        <w:t xml:space="preserve">10.2  Disaster recovery</w:t>
      </w:r>
    </w:p>
    <w:p>
      <w:pPr>
        <w:spacing w:after="120" w:before="0" w:line="276"/>
      </w:pPr>
      <w:r>
        <w:rPr>
          <w:rFonts w:ascii="Calibri" w:cs="Calibri" w:eastAsia="Calibri" w:hAnsi="Calibri"/>
          <w:color w:val="12161C"/>
          <w:sz w:val="21"/>
          <w:szCs w:val="21"/>
        </w:rPr>
        <w:t xml:space="preserve">A secondary runtime with replicated configuration provides recovery. RTO/RPO targets are to be set with the business; the config/routing table and key material are the critical state to protect and replicate.</w:t>
      </w:r>
    </w:p>
    <w:p>
      <w:pPr>
        <w:pStyle w:val="Heading2"/>
        <w:spacing w:after="100" w:before="200"/>
      </w:pPr>
      <w:r>
        <w:rPr>
          <w:rFonts w:ascii="Calibri" w:cs="Calibri" w:eastAsia="Calibri" w:hAnsi="Calibri"/>
          <w:b/>
          <w:bCs/>
          <w:color w:val="12161C"/>
          <w:sz w:val="25"/>
          <w:szCs w:val="25"/>
        </w:rPr>
        <w:t xml:space="preserve">10.3  Scalability &amp; performance</w:t>
      </w:r>
    </w:p>
    <w:p>
      <w:pPr>
        <w:spacing w:after="120" w:before="0" w:line="276"/>
      </w:pPr>
      <w:r>
        <w:rPr>
          <w:rFonts w:ascii="Calibri" w:cs="Calibri" w:eastAsia="Calibri" w:hAnsi="Calibri"/>
          <w:color w:val="12161C"/>
          <w:sz w:val="21"/>
          <w:szCs w:val="21"/>
        </w:rPr>
        <w:t xml:space="preserve">Cloud MFT components scale elastically; runtime Atoms scale horizontally for batch peaks. The March 2026 runtime optimisations reduce redundant retry cycles and latency. High-volume batch throughput versus the incumbent WebMethods should be benchmarked (gap G-05).</w:t>
      </w:r>
    </w:p>
    <w:p>
      <w:pPr>
        <w:pStyle w:val="Heading2"/>
        <w:spacing w:after="100" w:before="200"/>
      </w:pPr>
      <w:r>
        <w:rPr>
          <w:rFonts w:ascii="Calibri" w:cs="Calibri" w:eastAsia="Calibri" w:hAnsi="Calibri"/>
          <w:b/>
          <w:bCs/>
          <w:color w:val="12161C"/>
          <w:sz w:val="25"/>
          <w:szCs w:val="25"/>
        </w:rPr>
        <w:t xml:space="preserve">10.4  Security &amp; data protection</w:t>
      </w:r>
    </w:p>
    <w:p>
      <w:pPr>
        <w:pStyle w:val="ListParagraph"/>
        <w:numPr>
          <w:ilvl w:val="0"/>
          <w:numId w:val="1"/>
        </w:numPr>
        <w:spacing w:after="60" w:line="268"/>
      </w:pPr>
      <w:r>
        <w:rPr>
          <w:rFonts w:ascii="Calibri" w:cs="Calibri" w:eastAsia="Calibri" w:hAnsi="Calibri"/>
          <w:color w:val="12161C"/>
          <w:sz w:val="21"/>
          <w:szCs w:val="21"/>
        </w:rPr>
        <w:t xml:space="preserve">In transit: TLS (FTPS/AS2) and SSH (SFTP). At rest: PGP; transient landing zones encrypted.</w:t>
      </w:r>
    </w:p>
    <w:p>
      <w:pPr>
        <w:pStyle w:val="ListParagraph"/>
        <w:numPr>
          <w:ilvl w:val="0"/>
          <w:numId w:val="1"/>
        </w:numPr>
        <w:spacing w:after="60" w:line="268"/>
      </w:pPr>
      <w:r>
        <w:rPr>
          <w:rFonts w:ascii="Calibri" w:cs="Calibri" w:eastAsia="Calibri" w:hAnsi="Calibri"/>
          <w:color w:val="12161C"/>
          <w:sz w:val="21"/>
          <w:szCs w:val="21"/>
        </w:rPr>
        <w:t xml:space="preserve">Access: RBAC on the platform; segregation of duties between config authors, approvers and operators.</w:t>
      </w:r>
    </w:p>
    <w:p>
      <w:pPr>
        <w:pStyle w:val="ListParagraph"/>
        <w:numPr>
          <w:ilvl w:val="0"/>
          <w:numId w:val="1"/>
        </w:numPr>
        <w:spacing w:after="60" w:line="268"/>
      </w:pPr>
      <w:r>
        <w:rPr>
          <w:rFonts w:ascii="Calibri" w:cs="Calibri" w:eastAsia="Calibri" w:hAnsi="Calibri"/>
          <w:color w:val="12161C"/>
          <w:sz w:val="21"/>
          <w:szCs w:val="21"/>
        </w:rPr>
        <w:t xml:space="preserve">Key custody: enterprise HSM/KMS integration to be confirmed.</w:t>
      </w:r>
    </w:p>
    <w:p>
      <w:pPr>
        <w:pStyle w:val="ListParagraph"/>
        <w:numPr>
          <w:ilvl w:val="0"/>
          <w:numId w:val="1"/>
        </w:numPr>
        <w:spacing w:after="60" w:line="268"/>
      </w:pPr>
      <w:r>
        <w:rPr>
          <w:rFonts w:ascii="Calibri" w:cs="Calibri" w:eastAsia="Calibri" w:hAnsi="Calibri"/>
          <w:color w:val="12161C"/>
          <w:sz w:val="21"/>
          <w:szCs w:val="21"/>
        </w:rPr>
        <w:t xml:space="preserve">Data residency: hybrid runtime keeps payload in the trusted boundary; control-plane region to be confirmed for OFFICIAL.</w:t>
      </w:r>
    </w:p>
    <w:p>
      <w:pPr>
        <w:pStyle w:val="Heading2"/>
        <w:spacing w:after="100" w:before="200"/>
      </w:pPr>
      <w:r>
        <w:rPr>
          <w:rFonts w:ascii="Calibri" w:cs="Calibri" w:eastAsia="Calibri" w:hAnsi="Calibri"/>
          <w:b/>
          <w:bCs/>
          <w:color w:val="12161C"/>
          <w:sz w:val="25"/>
          <w:szCs w:val="25"/>
        </w:rPr>
        <w:t xml:space="preserve">10.5  Auditability &amp; retention</w:t>
      </w:r>
    </w:p>
    <w:p>
      <w:pPr>
        <w:spacing w:after="120" w:before="0" w:line="276"/>
      </w:pPr>
      <w:r>
        <w:rPr>
          <w:rFonts w:ascii="Calibri" w:cs="Calibri" w:eastAsia="Calibri" w:hAnsi="Calibri"/>
          <w:color w:val="12161C"/>
          <w:sz w:val="21"/>
          <w:szCs w:val="21"/>
        </w:rPr>
        <w:t xml:space="preserve">Every transfer produces an immutable tracking/audit record with delivery confirmation. Native automated retention defaults (audit logs 12 months, schedule history 3 months) are likely shorter than statutory/records-management requirements; audit data must be exported to a long-term archive (gap G-02b).</w:t>
      </w:r>
    </w:p>
    <w:p>
      <w:pPr>
        <w:pStyle w:val="Heading2"/>
        <w:spacing w:after="100" w:before="200"/>
      </w:pPr>
      <w:r>
        <w:rPr>
          <w:rFonts w:ascii="Calibri" w:cs="Calibri" w:eastAsia="Calibri" w:hAnsi="Calibri"/>
          <w:b/>
          <w:bCs/>
          <w:color w:val="12161C"/>
          <w:sz w:val="25"/>
          <w:szCs w:val="25"/>
        </w:rPr>
        <w:t xml:space="preserve">10.6  Observability &amp; operations</w:t>
      </w:r>
    </w:p>
    <w:p>
      <w:pPr>
        <w:spacing w:after="120" w:before="0" w:line="276"/>
      </w:pPr>
      <w:r>
        <w:rPr>
          <w:rFonts w:ascii="Calibri" w:cs="Calibri" w:eastAsia="Calibri" w:hAnsi="Calibri"/>
          <w:color w:val="12161C"/>
          <w:sz w:val="21"/>
          <w:szCs w:val="21"/>
        </w:rPr>
        <w:t xml:space="preserve">OpenTelemetry export streams metrics, logs and traces to the enterprise SIEM; runtime heartbeat/health telemetry supports proactive monitoring and alerting on failure and SLA breach.</w:t>
      </w:r>
    </w:p>
    <w:p>
      <w:r>
        <w:br w:type="page"/>
      </w:r>
    </w:p>
    <w:p>
      <w:pPr>
        <w:pStyle w:val="Heading1"/>
        <w:spacing w:after="120" w:before="260"/>
      </w:pPr>
      <w:r>
        <w:rPr>
          <w:rFonts w:ascii="Calibri" w:cs="Calibri" w:eastAsia="Calibri" w:hAnsi="Calibri"/>
          <w:b/>
          <w:bCs/>
          <w:color w:val="003D9E"/>
          <w:sz w:val="30"/>
          <w:szCs w:val="30"/>
        </w:rPr>
        <w:t xml:space="preserve">11  Gaps and limitations</w:t>
      </w:r>
    </w:p>
    <w:p>
      <w:pPr>
        <w:spacing w:after="120" w:before="0" w:line="276"/>
      </w:pPr>
      <w:r>
        <w:rPr>
          <w:rFonts w:ascii="Calibri" w:cs="Calibri" w:eastAsia="Calibri" w:hAnsi="Calibri"/>
          <w:color w:val="12161C"/>
          <w:sz w:val="21"/>
          <w:szCs w:val="21"/>
        </w:rPr>
        <w:t xml:space="preserve">This section is deliberately candid. Each gap is stated with its impact and a mitigation/action, so the Design Authority can accept, mitigate or challenge it rather than discover it in build.</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100"/>
        <w:gridCol w:w="3100"/>
        <w:gridCol w:w="2400"/>
        <w:gridCol w:w="2426"/>
      </w:tblGrid>
      <w:tr>
        <w:trPr>
          <w:tblHeader/>
        </w:trPr>
        <w:tc>
          <w:tcPr>
            <w:tcW w:type="dxa" w:w="11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w:t>
            </w:r>
          </w:p>
        </w:tc>
        <w:tc>
          <w:tcPr>
            <w:tcW w:type="dxa" w:w="31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Gap / limitation</w:t>
            </w:r>
          </w:p>
        </w:tc>
        <w:tc>
          <w:tcPr>
            <w:tcW w:type="dxa" w:w="24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Impact</w:t>
            </w:r>
          </w:p>
        </w:tc>
        <w:tc>
          <w:tcPr>
            <w:tcW w:type="dxa" w:w="24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Mitigation / action</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G-01</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Native MFT is post-acquisition (May 2025) and still maturing; roadmap items in flight.</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Feature-parity/roadmap risk.</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live GA feature set at build; track roadmap; avoid designing on roadmap-only items.</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G-02a</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Control plane is SaaS; data residency/assurance for OFFICIAL must be confirmed.</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Assurance/compliance risk.</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UK region; keep payload on-prem via hybrid runtime; assurance review.</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G-02b</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Automated audit retention default is 12 months (schedule history 3 months).</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May breach statutory retention.</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Export audit to long-term archive; set retention policy.</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G-03</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Native protocol set centres on SFTP/FTPS/AS2 (+ PEPPOL via EDI VAN); OFTP2/AS4/PeSIT not native.</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Gap if partners mandate these.</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Survey partner protocols; bridge or third-party gateway where required.</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G-04</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Content-based routing/transform beyond filename needs Integration processes.</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“Construction” creep vs principle.</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Keep such logic in the shared engine; DA deviation with named owner.</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G-05</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Batch throughput vs WebMethods unproven for HMRC volumes.</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Performance risk at cutover.</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Benchmark peak batch before migrating high-volume flows.</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G-06</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Working-day/holiday-calendar scheduling depth to confirm.</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Complex windows may need external scheduler.</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Validate scheduling; integrate enterprise scheduler if needed.</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G-07</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Non-repudiation/signed-receipt depth vs dedicated MFT (e.g. GoAnywhere) to confirm.</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Compliance evidence risk.</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receipt/NR capability against requirements.</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G-08</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 gateway HA topology (vs Atom HA) to confirm.</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Availability risk at edge.</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supported gateway clustering with vendor.</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G-09</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Enterprise HSM/KMS integration for keys to confirm.</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Key-custody assurance.</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HSM/KMS integration pattern.</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G-10</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SIEM integration relies on OpenTelemetry export — confirm coverage.</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Monitoring completeness.</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Prove OTel → Splunk coverage of MFT events.</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G-12</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No automated WebMethods→Boomi migration tooling.</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Migration effort/time.</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Plan deliberate re-configuration; sequence by risk.</w:t>
            </w:r>
          </w:p>
        </w:tc>
      </w:tr>
    </w:tbl>
    <w:p>
      <w:r>
        <w:br w:type="page"/>
      </w:r>
    </w:p>
    <w:p>
      <w:pPr>
        <w:pStyle w:val="Heading1"/>
        <w:spacing w:after="120" w:before="260"/>
      </w:pPr>
      <w:r>
        <w:rPr>
          <w:rFonts w:ascii="Calibri" w:cs="Calibri" w:eastAsia="Calibri" w:hAnsi="Calibri"/>
          <w:b/>
          <w:bCs/>
          <w:color w:val="003D9E"/>
          <w:sz w:val="30"/>
          <w:szCs w:val="30"/>
        </w:rPr>
        <w:t xml:space="preserve">12  Design decisions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100"/>
        <w:gridCol w:w="3300"/>
        <w:gridCol w:w="4626"/>
      </w:tblGrid>
      <w:tr>
        <w:trPr>
          <w:tblHeader/>
        </w:trPr>
        <w:tc>
          <w:tcPr>
            <w:tcW w:type="dxa" w:w="11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w:t>
            </w:r>
          </w:p>
        </w:tc>
        <w:tc>
          <w:tcPr>
            <w:tcW w:type="dxa" w:w="33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Decision</w:t>
            </w:r>
          </w:p>
        </w:tc>
        <w:tc>
          <w:tcPr>
            <w:tcW w:type="dxa" w:w="46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Rationale</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DD-01</w:t>
            </w:r>
          </w:p>
        </w:tc>
        <w:tc>
          <w:tcPr>
            <w:tcW w:type="dxa" w:w="3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Adopt Boomi native MFT (Thru) as strategic MFT.</w:t>
            </w:r>
          </w:p>
        </w:tc>
        <w:tc>
          <w:tcPr>
            <w:tcW w:type="dxa" w:w="4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Single platform/control plane; unifies API/app/file movement; reduces vendors.</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DD-02</w:t>
            </w:r>
          </w:p>
        </w:tc>
        <w:tc>
          <w:tcPr>
            <w:tcW w:type="dxa" w:w="3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Single generic, config-driven MFT engine.</w:t>
            </w:r>
          </w:p>
        </w:tc>
        <w:tc>
          <w:tcPr>
            <w:tcW w:type="dxa" w:w="4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“Config over construction”; governable, uniform, cheap to scale.</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DD-03</w:t>
            </w:r>
          </w:p>
        </w:tc>
        <w:tc>
          <w:tcPr>
            <w:tcW w:type="dxa" w:w="3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DB-backed config/routing table as single source.</w:t>
            </w:r>
          </w:p>
        </w:tc>
        <w:tc>
          <w:tcPr>
            <w:tcW w:type="dxa" w:w="4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Consumed by engine and written by Intelligrator; auditable.</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DD-04</w:t>
            </w:r>
          </w:p>
        </w:tc>
        <w:tc>
          <w:tcPr>
            <w:tcW w:type="dxa" w:w="3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Hybrid topology; MFT runtimes on-prem.</w:t>
            </w:r>
          </w:p>
        </w:tc>
        <w:tc>
          <w:tcPr>
            <w:tcW w:type="dxa" w:w="4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Keeps OFFICIAL payload in the trusted boundary.</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DD-05</w:t>
            </w:r>
          </w:p>
        </w:tc>
        <w:tc>
          <w:tcPr>
            <w:tcW w:type="dxa" w:w="3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Gateway in DMZ; Atoms in trusted zone.</w:t>
            </w:r>
          </w:p>
        </w:tc>
        <w:tc>
          <w:tcPr>
            <w:tcW w:type="dxa" w:w="4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Standard zoning; minimises attack surface.</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DD-06</w:t>
            </w:r>
          </w:p>
        </w:tc>
        <w:tc>
          <w:tcPr>
            <w:tcW w:type="dxa" w:w="3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PGP mandatory for OFFICIAL(-SENSITIVE) payloads.</w:t>
            </w:r>
          </w:p>
        </w:tc>
        <w:tc>
          <w:tcPr>
            <w:tcW w:type="dxa" w:w="4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Data protection at rest end to end.</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DD-07</w:t>
            </w:r>
          </w:p>
        </w:tc>
        <w:tc>
          <w:tcPr>
            <w:tcW w:type="dxa" w:w="3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Export audit to long-term archive.</w:t>
            </w:r>
          </w:p>
        </w:tc>
        <w:tc>
          <w:tcPr>
            <w:tcW w:type="dxa" w:w="4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Native 12-month retention insufficient for statutory needs.</w:t>
            </w:r>
          </w:p>
        </w:tc>
      </w:tr>
    </w:tbl>
    <w:p>
      <w:pPr>
        <w:pStyle w:val="Heading1"/>
        <w:spacing w:after="120" w:before="260"/>
      </w:pPr>
      <w:r>
        <w:rPr>
          <w:rFonts w:ascii="Calibri" w:cs="Calibri" w:eastAsia="Calibri" w:hAnsi="Calibri"/>
          <w:b/>
          <w:bCs/>
          <w:color w:val="003D9E"/>
          <w:sz w:val="30"/>
          <w:szCs w:val="30"/>
        </w:rPr>
        <w:t xml:space="preserve">13  Risks, assumptions, issues, dependencies</w:t>
      </w:r>
    </w:p>
    <w:p>
      <w:pPr>
        <w:pStyle w:val="Heading2"/>
        <w:spacing w:after="100" w:before="200"/>
      </w:pPr>
      <w:r>
        <w:rPr>
          <w:rFonts w:ascii="Calibri" w:cs="Calibri" w:eastAsia="Calibri" w:hAnsi="Calibri"/>
          <w:b/>
          <w:bCs/>
          <w:color w:val="12161C"/>
          <w:sz w:val="25"/>
          <w:szCs w:val="25"/>
        </w:rPr>
        <w:t xml:space="preserve">13.1  Risks</w:t>
      </w:r>
    </w:p>
    <w:p>
      <w:pPr>
        <w:pStyle w:val="ListParagraph"/>
        <w:numPr>
          <w:ilvl w:val="0"/>
          <w:numId w:val="1"/>
        </w:numPr>
        <w:spacing w:after="60" w:line="268"/>
      </w:pPr>
      <w:r>
        <w:rPr>
          <w:rFonts w:ascii="Calibri" w:cs="Calibri" w:eastAsia="Calibri" w:hAnsi="Calibri"/>
          <w:color w:val="12161C"/>
          <w:sz w:val="21"/>
          <w:szCs w:val="21"/>
        </w:rPr>
        <w:t xml:space="preserve">Product maturity/roadmap dependence (G-01) could delay features relied upon.</w:t>
      </w:r>
    </w:p>
    <w:p>
      <w:pPr>
        <w:pStyle w:val="ListParagraph"/>
        <w:numPr>
          <w:ilvl w:val="0"/>
          <w:numId w:val="1"/>
        </w:numPr>
        <w:spacing w:after="60" w:line="268"/>
      </w:pPr>
      <w:r>
        <w:rPr>
          <w:rFonts w:ascii="Calibri" w:cs="Calibri" w:eastAsia="Calibri" w:hAnsi="Calibri"/>
          <w:color w:val="12161C"/>
          <w:sz w:val="21"/>
          <w:szCs w:val="21"/>
        </w:rPr>
        <w:t xml:space="preserve">Data-residency/assurance for OFFICIAL unresolved could block go-live (G-02a).</w:t>
      </w:r>
    </w:p>
    <w:p>
      <w:pPr>
        <w:pStyle w:val="ListParagraph"/>
        <w:numPr>
          <w:ilvl w:val="0"/>
          <w:numId w:val="1"/>
        </w:numPr>
        <w:spacing w:after="60" w:line="268"/>
      </w:pPr>
      <w:r>
        <w:rPr>
          <w:rFonts w:ascii="Calibri" w:cs="Calibri" w:eastAsia="Calibri" w:hAnsi="Calibri"/>
          <w:color w:val="12161C"/>
          <w:sz w:val="21"/>
          <w:szCs w:val="21"/>
        </w:rPr>
        <w:t xml:space="preserve">Throughput at HMRC batch volumes unproven (G-05).</w:t>
      </w:r>
    </w:p>
    <w:p>
      <w:pPr>
        <w:pStyle w:val="Heading2"/>
        <w:spacing w:after="100" w:before="200"/>
      </w:pPr>
      <w:r>
        <w:rPr>
          <w:rFonts w:ascii="Calibri" w:cs="Calibri" w:eastAsia="Calibri" w:hAnsi="Calibri"/>
          <w:b/>
          <w:bCs/>
          <w:color w:val="12161C"/>
          <w:sz w:val="25"/>
          <w:szCs w:val="25"/>
        </w:rPr>
        <w:t xml:space="preserve">13.2  Assumptions</w:t>
      </w:r>
    </w:p>
    <w:p>
      <w:pPr>
        <w:pStyle w:val="ListParagraph"/>
        <w:numPr>
          <w:ilvl w:val="0"/>
          <w:numId w:val="1"/>
        </w:numPr>
        <w:spacing w:after="60" w:line="268"/>
      </w:pPr>
      <w:r>
        <w:rPr>
          <w:rFonts w:ascii="Calibri" w:cs="Calibri" w:eastAsia="Calibri" w:hAnsi="Calibri"/>
          <w:color w:val="12161C"/>
          <w:sz w:val="21"/>
          <w:szCs w:val="21"/>
        </w:rPr>
        <w:t xml:space="preserve">A UK-region/assured control-plane option is available for OFFICIAL.</w:t>
      </w:r>
    </w:p>
    <w:p>
      <w:pPr>
        <w:pStyle w:val="ListParagraph"/>
        <w:numPr>
          <w:ilvl w:val="0"/>
          <w:numId w:val="1"/>
        </w:numPr>
        <w:spacing w:after="60" w:line="268"/>
      </w:pPr>
      <w:r>
        <w:rPr>
          <w:rFonts w:ascii="Calibri" w:cs="Calibri" w:eastAsia="Calibri" w:hAnsi="Calibri"/>
          <w:color w:val="12161C"/>
          <w:sz w:val="21"/>
          <w:szCs w:val="21"/>
        </w:rPr>
        <w:t xml:space="preserve">Partners predominantly support SFTP/FTPS/AS2.</w:t>
      </w:r>
    </w:p>
    <w:p>
      <w:pPr>
        <w:pStyle w:val="ListParagraph"/>
        <w:numPr>
          <w:ilvl w:val="0"/>
          <w:numId w:val="1"/>
        </w:numPr>
        <w:spacing w:after="60" w:line="268"/>
      </w:pPr>
      <w:r>
        <w:rPr>
          <w:rFonts w:ascii="Calibri" w:cs="Calibri" w:eastAsia="Calibri" w:hAnsi="Calibri"/>
          <w:color w:val="12161C"/>
          <w:sz w:val="21"/>
          <w:szCs w:val="21"/>
        </w:rPr>
        <w:t xml:space="preserve">Enterprise SIEM can ingest OpenTelemetry; HSM/KMS integration is feasible.</w:t>
      </w:r>
    </w:p>
    <w:p>
      <w:pPr>
        <w:pStyle w:val="Heading2"/>
        <w:spacing w:after="100" w:before="200"/>
      </w:pPr>
      <w:r>
        <w:rPr>
          <w:rFonts w:ascii="Calibri" w:cs="Calibri" w:eastAsia="Calibri" w:hAnsi="Calibri"/>
          <w:b/>
          <w:bCs/>
          <w:color w:val="12161C"/>
          <w:sz w:val="25"/>
          <w:szCs w:val="25"/>
        </w:rPr>
        <w:t xml:space="preserve">13.3  Issues</w:t>
      </w:r>
    </w:p>
    <w:p>
      <w:pPr>
        <w:pStyle w:val="ListParagraph"/>
        <w:numPr>
          <w:ilvl w:val="0"/>
          <w:numId w:val="1"/>
        </w:numPr>
        <w:spacing w:after="60" w:line="268"/>
      </w:pPr>
      <w:r>
        <w:rPr>
          <w:rFonts w:ascii="Calibri" w:cs="Calibri" w:eastAsia="Calibri" w:hAnsi="Calibri"/>
          <w:color w:val="12161C"/>
          <w:sz w:val="21"/>
          <w:szCs w:val="21"/>
        </w:rPr>
        <w:t xml:space="preserve">Native audit retention default (12 months) is below likely statutory requirements — open until archive design agreed.</w:t>
      </w:r>
    </w:p>
    <w:p>
      <w:pPr>
        <w:pStyle w:val="Heading2"/>
        <w:spacing w:after="100" w:before="200"/>
      </w:pPr>
      <w:r>
        <w:rPr>
          <w:rFonts w:ascii="Calibri" w:cs="Calibri" w:eastAsia="Calibri" w:hAnsi="Calibri"/>
          <w:b/>
          <w:bCs/>
          <w:color w:val="12161C"/>
          <w:sz w:val="25"/>
          <w:szCs w:val="25"/>
        </w:rPr>
        <w:t xml:space="preserve">13.4  Dependencies</w:t>
      </w:r>
    </w:p>
    <w:p>
      <w:pPr>
        <w:pStyle w:val="ListParagraph"/>
        <w:numPr>
          <w:ilvl w:val="0"/>
          <w:numId w:val="1"/>
        </w:numPr>
        <w:spacing w:after="60" w:line="268"/>
      </w:pPr>
      <w:r>
        <w:rPr>
          <w:rFonts w:ascii="Calibri" w:cs="Calibri" w:eastAsia="Calibri" w:hAnsi="Calibri"/>
          <w:color w:val="12161C"/>
          <w:sz w:val="21"/>
          <w:szCs w:val="21"/>
        </w:rPr>
        <w:t xml:space="preserve">Network/firewall low-level design for DMZ and trusted-zone connectivity.</w:t>
      </w:r>
    </w:p>
    <w:p>
      <w:pPr>
        <w:pStyle w:val="ListParagraph"/>
        <w:numPr>
          <w:ilvl w:val="0"/>
          <w:numId w:val="1"/>
        </w:numPr>
        <w:spacing w:after="60" w:line="268"/>
      </w:pPr>
      <w:r>
        <w:rPr>
          <w:rFonts w:ascii="Calibri" w:cs="Calibri" w:eastAsia="Calibri" w:hAnsi="Calibri"/>
          <w:color w:val="12161C"/>
          <w:sz w:val="21"/>
          <w:szCs w:val="21"/>
        </w:rPr>
        <w:t xml:space="preserve">Enterprise IdP/SSO for operator access (later phase).</w:t>
      </w:r>
    </w:p>
    <w:p>
      <w:pPr>
        <w:pStyle w:val="ListParagraph"/>
        <w:numPr>
          <w:ilvl w:val="0"/>
          <w:numId w:val="1"/>
        </w:numPr>
        <w:spacing w:after="60" w:line="268"/>
      </w:pPr>
      <w:r>
        <w:rPr>
          <w:rFonts w:ascii="Calibri" w:cs="Calibri" w:eastAsia="Calibri" w:hAnsi="Calibri"/>
          <w:color w:val="12161C"/>
          <w:sz w:val="21"/>
          <w:szCs w:val="21"/>
        </w:rPr>
        <w:t xml:space="preserve">Enterprise HSM/KMS for key custody.</w:t>
      </w:r>
    </w:p>
    <w:p>
      <w:pPr>
        <w:pStyle w:val="ListParagraph"/>
        <w:numPr>
          <w:ilvl w:val="0"/>
          <w:numId w:val="1"/>
        </w:numPr>
        <w:spacing w:after="60" w:line="268"/>
      </w:pPr>
      <w:r>
        <w:rPr>
          <w:rFonts w:ascii="Calibri" w:cs="Calibri" w:eastAsia="Calibri" w:hAnsi="Calibri"/>
          <w:color w:val="12161C"/>
          <w:sz w:val="21"/>
          <w:szCs w:val="21"/>
        </w:rPr>
        <w:t xml:space="preserve">Intelligrator for governed config authoring.</w:t>
      </w:r>
    </w:p>
    <w:p>
      <w:pPr>
        <w:pStyle w:val="Heading1"/>
        <w:spacing w:after="120" w:before="260"/>
      </w:pPr>
      <w:r>
        <w:rPr>
          <w:rFonts w:ascii="Calibri" w:cs="Calibri" w:eastAsia="Calibri" w:hAnsi="Calibri"/>
          <w:b/>
          <w:bCs/>
          <w:color w:val="003D9E"/>
          <w:sz w:val="30"/>
          <w:szCs w:val="30"/>
        </w:rPr>
        <w:t xml:space="preserve">14  Open questions for the Design Authority</w:t>
      </w:r>
    </w:p>
    <w:p>
      <w:pPr>
        <w:spacing w:after="120" w:before="0" w:line="276"/>
      </w:pPr>
      <w:r>
        <w:rPr>
          <w:rFonts w:ascii="Calibri" w:cs="Calibri" w:eastAsia="Calibri" w:hAnsi="Calibri"/>
          <w:color w:val="12161C"/>
          <w:sz w:val="21"/>
          <w:szCs w:val="21"/>
        </w:rPr>
        <w:t xml:space="preserve">Each requires a named owner and decision before build.</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900"/>
        <w:gridCol w:w="6400"/>
        <w:gridCol w:w="1726"/>
      </w:tblGrid>
      <w:tr>
        <w:trPr>
          <w:tblHeader/>
        </w:trPr>
        <w:tc>
          <w:tcPr>
            <w:tcW w:type="dxa" w:w="9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w:t>
            </w:r>
          </w:p>
        </w:tc>
        <w:tc>
          <w:tcPr>
            <w:tcW w:type="dxa" w:w="64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Question</w:t>
            </w:r>
          </w:p>
        </w:tc>
        <w:tc>
          <w:tcPr>
            <w:tcW w:type="dxa" w:w="17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Owner</w:t>
            </w:r>
          </w:p>
        </w:tc>
      </w:tr>
      <w:tr>
        <w:tc>
          <w:tcPr>
            <w:tcW w:type="dxa" w:w="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1</w:t>
            </w:r>
          </w:p>
        </w:tc>
        <w:tc>
          <w:tcPr>
            <w:tcW w:type="dxa" w:w="6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What is the confirmed GA feature set of native MFT at build time (vs roadmap)?</w:t>
            </w:r>
          </w:p>
        </w:tc>
        <w:tc>
          <w:tcPr>
            <w:tcW w:type="dxa" w:w="17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2</w:t>
            </w:r>
          </w:p>
        </w:tc>
        <w:tc>
          <w:tcPr>
            <w:tcW w:type="dxa" w:w="6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What control-plane region/assurance applies for OFFICIAL data residency?</w:t>
            </w:r>
          </w:p>
        </w:tc>
        <w:tc>
          <w:tcPr>
            <w:tcW w:type="dxa" w:w="17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3</w:t>
            </w:r>
          </w:p>
        </w:tc>
        <w:tc>
          <w:tcPr>
            <w:tcW w:type="dxa" w:w="6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How is audit exported and retained to meet statutory retention?</w:t>
            </w:r>
          </w:p>
        </w:tc>
        <w:tc>
          <w:tcPr>
            <w:tcW w:type="dxa" w:w="17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4</w:t>
            </w:r>
          </w:p>
        </w:tc>
        <w:tc>
          <w:tcPr>
            <w:tcW w:type="dxa" w:w="6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Which partner protocols beyond SFTP/FTPS/AS2 must be supported (OFTP2/AS4/PeSIT)?</w:t>
            </w:r>
          </w:p>
        </w:tc>
        <w:tc>
          <w:tcPr>
            <w:tcW w:type="dxa" w:w="17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5</w:t>
            </w:r>
          </w:p>
        </w:tc>
        <w:tc>
          <w:tcPr>
            <w:tcW w:type="dxa" w:w="6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What is the supported MFT gateway HA topology?</w:t>
            </w:r>
          </w:p>
        </w:tc>
        <w:tc>
          <w:tcPr>
            <w:tcW w:type="dxa" w:w="17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6</w:t>
            </w:r>
          </w:p>
        </w:tc>
        <w:tc>
          <w:tcPr>
            <w:tcW w:type="dxa" w:w="6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What is the HSM/KMS integration pattern for key custody?</w:t>
            </w:r>
          </w:p>
        </w:tc>
        <w:tc>
          <w:tcPr>
            <w:tcW w:type="dxa" w:w="17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7</w:t>
            </w:r>
          </w:p>
        </w:tc>
        <w:tc>
          <w:tcPr>
            <w:tcW w:type="dxa" w:w="6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Does the Intelligrator wizard Submit require both connection tests to pass before enabling?</w:t>
            </w:r>
          </w:p>
        </w:tc>
        <w:tc>
          <w:tcPr>
            <w:tcW w:type="dxa" w:w="17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bl>
    <w:p>
      <w:pPr>
        <w:pStyle w:val="Heading1"/>
        <w:spacing w:after="120" w:before="260"/>
      </w:pPr>
      <w:r>
        <w:rPr>
          <w:rFonts w:ascii="Calibri" w:cs="Calibri" w:eastAsia="Calibri" w:hAnsi="Calibri"/>
          <w:b/>
          <w:bCs/>
          <w:color w:val="003D9E"/>
          <w:sz w:val="30"/>
          <w:szCs w:val="30"/>
        </w:rPr>
        <w:t xml:space="preserve">15  Glossary and references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200"/>
        <w:gridCol w:w="6826"/>
      </w:tblGrid>
      <w:tr>
        <w:trPr>
          <w:tblHeader/>
        </w:trPr>
        <w:tc>
          <w:tcPr>
            <w:tcW w:type="dxa" w:w="22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Term</w:t>
            </w:r>
          </w:p>
        </w:tc>
        <w:tc>
          <w:tcPr>
            <w:tcW w:type="dxa" w:w="68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Meaning</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Managed File Transfer — governed, secure, auditable file exchange.</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Thru</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 product acquired by Boomi (May 2025), now native to the platform.</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Atom / Molecule</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Boomi runtime; Molecule is the clustered (HA) form.</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Control plane</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Boomi-hosted management/tracking layer (SaaS).</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Config over construction</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Programme principle: interfaces are configuration rows, not new builds.</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OTel</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OpenTelemetry — open standard for metrics, logs and traces.</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PGP ASCII-armor</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Text (.asc) encoding of PGP-encrypted content.</w:t>
            </w:r>
          </w:p>
        </w:tc>
      </w:tr>
    </w:tbl>
    <w:p>
      <w:pPr>
        <w:spacing w:after="80"/>
      </w:pPr>
      <w:r>
        <w:rPr>
          <w:rFonts w:ascii="Calibri" w:cs="Calibri" w:eastAsia="Calibri" w:hAnsi="Calibri"/>
          <w:color w:val="12161C"/>
          <w:sz w:val="21"/>
          <w:szCs w:val="21"/>
        </w:rPr>
        <w:t xml:space="preserve"/>
      </w:r>
    </w:p>
    <w:p>
      <w:pPr>
        <w:spacing w:after="120" w:before="0" w:line="276"/>
      </w:pPr>
      <w:r>
        <w:rPr>
          <w:rFonts w:ascii="Calibri" w:cs="Calibri" w:eastAsia="Calibri" w:hAnsi="Calibri"/>
          <w:b/>
          <w:bCs/>
          <w:color w:val="5A6472"/>
          <w:sz w:val="18"/>
          <w:szCs w:val="18"/>
        </w:rPr>
        <w:t xml:space="preserve">Primary sources (accessed Jul 2026): </w:t>
      </w:r>
      <w:r>
        <w:rPr>
          <w:rFonts w:ascii="Calibri" w:cs="Calibri" w:eastAsia="Calibri" w:hAnsi="Calibri"/>
          <w:color w:val="5A6472"/>
          <w:sz w:val="18"/>
          <w:szCs w:val="18"/>
        </w:rPr>
        <w:t xml:space="preserve">Boomi — Managed File Transfer product &amp; “What is MFT” pages; Boomi platform release notes (March 2026); Boomi product roadmap (Q2 2026); Boomi MFT documentation (MFT SFTP Server); Thru — MFT Connector for Boomi; Boomi acquisition of Thru announcement (May 2025).</w:t>
      </w:r>
    </w:p>
    <w:p>
      <w:pPr>
        <w:pBdr>
          <w:bottom w:val="single" w:color="DFE4EA" w:sz="6"/>
        </w:pBdr>
        <w:spacing w:after="120"/>
      </w:pPr>
      <w:r>
        <w:rPr>
          <w:rFonts w:ascii="Calibri" w:cs="Calibri" w:eastAsia="Calibri" w:hAnsi="Calibri"/>
          <w:color w:val="12161C"/>
          <w:sz w:val="21"/>
          <w:szCs w:val="21"/>
        </w:rPr>
        <w:t xml:space="preserve"/>
      </w:r>
    </w:p>
    <w:p>
      <w:pPr>
        <w:spacing w:before="60"/>
        <w:jc w:val="center"/>
      </w:pPr>
      <w:r>
        <w:rPr>
          <w:rFonts w:ascii="Calibri" w:cs="Calibri" w:eastAsia="Calibri" w:hAnsi="Calibri"/>
          <w:i/>
          <w:iCs/>
          <w:color w:val="5A6472"/>
          <w:sz w:val="17"/>
          <w:szCs w:val="17"/>
        </w:rPr>
        <w:t xml:space="preserve">OFFICIAL — DRAFT for Design Authority review — v0.1 — 20 July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2"/>
        <w:sz w:val="16"/>
        <w:szCs w:val="16"/>
      </w:rPr>
      <w:t xml:space="preserve">Page </w:t>
    </w:r>
    <w:r>
      <w:rPr>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A6472"/>
        <w:sz w:val="16"/>
        <w:szCs w:val="16"/>
      </w:rPr>
      <w:t xml:space="preserve">OFFICIAL — SDD: MFT on Boomi (Thru)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16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03D9E"/>
      <w:sz w:val="30"/>
      <w:szCs w:val="30"/>
    </w:rPr>
  </w:style>
  <w:style w:type="paragraph" w:styleId="Heading2">
    <w:name w:val="Heading 2"/>
    <w:basedOn w:val="Normal"/>
    <w:next w:val="Normal"/>
    <w:qFormat/>
    <w:rPr>
      <w:rFonts w:ascii="Calibri" w:cs="Calibri" w:eastAsia="Calibri" w:hAnsi="Calibri"/>
      <w:b/>
      <w:bCs/>
      <w:color w:val="12161C"/>
      <w:sz w:val="25"/>
      <w:szCs w:val="25"/>
    </w:rPr>
  </w:style>
  <w:style w:type="paragraph" w:styleId="Heading3">
    <w:name w:val="Heading 3"/>
    <w:basedOn w:val="Normal"/>
    <w:next w:val="Normal"/>
    <w:qFormat/>
    <w:rPr>
      <w:rFonts w:ascii="Calibri" w:cs="Calibri" w:eastAsia="Calibri" w:hAnsi="Calibri"/>
      <w:b/>
      <w:bCs/>
      <w:color w:val="5A647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5bfa6311e2b6a099de114f8305bd64288da01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 MFT on Boomi (Thru)</dc:title>
  <dc:creator>Integration Catalogue Bot</dc:creator>
  <cp:lastModifiedBy>Un-named</cp:lastModifiedBy>
  <cp:revision>1</cp:revision>
  <dcterms:created xsi:type="dcterms:W3CDTF">2026-07-20T09:27:10.477Z</dcterms:created>
  <dcterms:modified xsi:type="dcterms:W3CDTF">2026-07-20T09:27:10.490Z</dcterms:modified>
</cp:coreProperties>
</file>

<file path=docProps/custom.xml><?xml version="1.0" encoding="utf-8"?>
<Properties xmlns="http://schemas.openxmlformats.org/officeDocument/2006/custom-properties" xmlns:vt="http://schemas.openxmlformats.org/officeDocument/2006/docPropsVTypes"/>
</file>