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Boomi MFT Platform: Overview, AFT and FS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C5CCD3" w:sz="4"/>
              <w:left w:val="single" w:color="C5CCD3" w:sz="4"/>
              <w:bottom w:val="single" w:color="C5CCD3" w:sz="4"/>
              <w:right w:val="single" w:color="C5CCD3" w:sz="4"/>
            </w:tcBorders>
            <w:shd w:fill="E8F0FA" w:color="auto" w:val="clear"/>
            <w:tcMar>
              <w:top w:type="dxa" w:w="60"/>
              <w:left w:type="dxa" w:w="100"/>
              <w:bottom w:type="dxa" w:w="60"/>
              <w:right w:type="dxa" w:w="100"/>
            </w:tcMar>
          </w:tcPr>
          <w:p>
            <w:r>
              <w:rPr>
                <w:b/>
                <w:bCs/>
                <w:sz w:val="19"/>
                <w:szCs w:val="19"/>
              </w:rPr>
              <w:t xml:space="preserve">Status</w:t>
            </w:r>
          </w:p>
        </w:tc>
        <w:tc>
          <w:tcPr>
            <w:tcW w:type="dxa" w:w="7238"/>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Draft v0.1 (draft), 22 October 2026</w:t>
            </w:r>
          </w:p>
        </w:tc>
      </w:tr>
      <w:tr>
        <w:tc>
          <w:tcPr>
            <w:tcW w:type="dxa" w:w="2400"/>
            <w:tcBorders>
              <w:top w:val="single" w:color="C5CCD3" w:sz="4"/>
              <w:left w:val="single" w:color="C5CCD3" w:sz="4"/>
              <w:bottom w:val="single" w:color="C5CCD3" w:sz="4"/>
              <w:right w:val="single" w:color="C5CCD3" w:sz="4"/>
            </w:tcBorders>
            <w:shd w:fill="E8F0FA" w:color="auto" w:val="clear"/>
            <w:tcMar>
              <w:top w:type="dxa" w:w="60"/>
              <w:left w:type="dxa" w:w="100"/>
              <w:bottom w:type="dxa" w:w="60"/>
              <w:right w:type="dxa" w:w="100"/>
            </w:tcMar>
          </w:tcPr>
          <w:p>
            <w:r>
              <w:rPr>
                <w:b/>
                <w:bCs/>
                <w:sz w:val="19"/>
                <w:szCs w:val="19"/>
              </w:rPr>
              <w:t xml:space="preserve">Page owner</w:t>
            </w:r>
          </w:p>
        </w:tc>
        <w:tc>
          <w:tcPr>
            <w:tcW w:type="dxa" w:w="7238"/>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Integration Architect</w:t>
            </w:r>
          </w:p>
        </w:tc>
      </w:tr>
      <w:tr>
        <w:tc>
          <w:tcPr>
            <w:tcW w:type="dxa" w:w="2400"/>
            <w:tcBorders>
              <w:top w:val="single" w:color="C5CCD3" w:sz="4"/>
              <w:left w:val="single" w:color="C5CCD3" w:sz="4"/>
              <w:bottom w:val="single" w:color="C5CCD3" w:sz="4"/>
              <w:right w:val="single" w:color="C5CCD3" w:sz="4"/>
            </w:tcBorders>
            <w:shd w:fill="E8F0FA" w:color="auto" w:val="clear"/>
            <w:tcMar>
              <w:top w:type="dxa" w:w="60"/>
              <w:left w:type="dxa" w:w="100"/>
              <w:bottom w:type="dxa" w:w="60"/>
              <w:right w:type="dxa" w:w="100"/>
            </w:tcMar>
          </w:tcPr>
          <w:p>
            <w:r>
              <w:rPr>
                <w:b/>
                <w:bCs/>
                <w:sz w:val="19"/>
                <w:szCs w:val="19"/>
              </w:rPr>
              <w:t xml:space="preserve">Audience</w:t>
            </w:r>
          </w:p>
        </w:tc>
        <w:tc>
          <w:tcPr>
            <w:tcW w:type="dxa" w:w="7238"/>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Architects, Boomi platform team, delivery teams, security and service management</w:t>
            </w:r>
          </w:p>
        </w:tc>
      </w:tr>
      <w:tr>
        <w:tc>
          <w:tcPr>
            <w:tcW w:type="dxa" w:w="2400"/>
            <w:tcBorders>
              <w:top w:val="single" w:color="C5CCD3" w:sz="4"/>
              <w:left w:val="single" w:color="C5CCD3" w:sz="4"/>
              <w:bottom w:val="single" w:color="C5CCD3" w:sz="4"/>
              <w:right w:val="single" w:color="C5CCD3" w:sz="4"/>
            </w:tcBorders>
            <w:shd w:fill="E8F0FA" w:color="auto" w:val="clear"/>
            <w:tcMar>
              <w:top w:type="dxa" w:w="60"/>
              <w:left w:type="dxa" w:w="100"/>
              <w:bottom w:type="dxa" w:w="60"/>
              <w:right w:type="dxa" w:w="100"/>
            </w:tcMar>
          </w:tcPr>
          <w:p>
            <w:r>
              <w:rPr>
                <w:b/>
                <w:bCs/>
                <w:sz w:val="19"/>
                <w:szCs w:val="19"/>
              </w:rPr>
              <w:t xml:space="preserve">Child page</w:t>
            </w:r>
          </w:p>
        </w:tc>
        <w:tc>
          <w:tcPr>
            <w:tcW w:type="dxa" w:w="7238"/>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Boomi MFT MVP Solution</w:t>
            </w:r>
          </w:p>
        </w:tc>
      </w:tr>
    </w:tbl>
    <w:p>
      <w:pPr>
        <w:spacing w:after="60"/>
      </w:pPr>
    </w:p>
    <w:p>
      <w:pPr>
        <w:pStyle w:val="Heading1"/>
      </w:pPr>
      <w:r>
        <w:t xml:space="preserve">1. Purpose</w:t>
      </w:r>
    </w:p>
    <w:p>
      <w:pPr>
        <w:spacing w:after="120"/>
      </w:pPr>
      <w:r>
        <w:t xml:space="preserve">This page describes the Boomi Managed File Transfer (MFT) platform: its two applications, Automated File Transfer (AFT) and File Sharing (FS), the runtime that keeps internal transfers inside our network, how the platform is deployed on the programme, and the gaps and decisions that shape its use. The MVP is described on the child page, Boomi MFT MVP Solution.</w:t>
      </w:r>
    </w:p>
    <w:p>
      <w:pPr>
        <w:pStyle w:val="Heading1"/>
      </w:pPr>
      <w:r>
        <w:t xml:space="preserve">2. Platform at a glance</w:t>
      </w:r>
    </w:p>
    <w:p>
      <w:pPr>
        <w:spacing w:after="120"/>
      </w:pPr>
      <w:r>
        <w:t xml:space="preserve">Boomi MFT is a cloud-native managed file transfer service within the Boomi Enterprise Platform. It came from Boomi's acquisition of Thru Inc., announced in May 2025, so some screens, URLs and install paths still carry the Thru name. Boomi hosts the control plane, the portal and persistent file storage. We host the MFT Node runtime inside our network wherever files must stay internal.</w:t>
      </w:r>
    </w:p>
    <w:p>
      <w:pPr>
        <w:spacing w:after="120"/>
      </w:pPr>
      <w:r>
        <w:t xml:space="preserve">On the programme, Boomi MFT complements the incumbent file-transfer estate (ESDES and SDS). It is not a like-for-like replacement. New and migrated transfers are onboarded by configuration, not by building a new component for each interface.</w:t>
      </w:r>
    </w:p>
    <w:p>
      <w:pPr>
        <w:jc w:val="center"/>
      </w:pPr>
      <w:r>
        <w:drawing>
          <wp:inline distT="0" distB="0" distL="0" distR="0">
            <wp:extent cx="609600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3543300"/>
                    </a:xfrm>
                    <a:prstGeom prst="rect">
                      <a:avLst/>
                    </a:prstGeom>
                  </pic:spPr>
                </pic:pic>
              </a:graphicData>
            </a:graphic>
          </wp:inline>
        </w:drawing>
      </w:r>
    </w:p>
    <w:p>
      <w:pPr>
        <w:spacing w:after="200"/>
        <w:jc w:val="center"/>
      </w:pPr>
      <w:r>
        <w:rPr>
          <w:i/>
          <w:iCs/>
          <w:color w:val="52606D"/>
          <w:sz w:val="18"/>
          <w:szCs w:val="18"/>
        </w:rPr>
        <w:t xml:space="preserve">Figure 1. Boomi MFT platform components, trust zones and data flows (source: boomi-mft-platform.drawio)</w:t>
      </w:r>
    </w:p>
    <w:p>
      <w:pPr>
        <w:pStyle w:val="Heading2"/>
      </w:pPr>
      <w:r>
        <w:t xml:space="preserve">2.1 Building blocks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22"/>
        <w:gridCol w:w="3517"/>
        <w:gridCol w:w="1823"/>
        <w:gridCol w:w="2976"/>
      </w:tblGrid>
      <w:tr>
        <w:trPr>
          <w:tblHeader/>
        </w:trPr>
        <w:tc>
          <w:tcPr>
            <w:tcW w:type="dxa" w:w="1322"/>
            <w:tcBorders>
              <w:top w:val="single" w:color="C5CCD3" w:sz="4"/>
              <w:left w:val="single" w:color="C5CCD3" w:sz="4"/>
              <w:bottom w:val="single" w:color="C5CCD3" w:sz="4"/>
              <w:right w:val="single" w:color="C5CCD3" w:sz="4"/>
            </w:tcBorders>
            <w:shd w:fill="E8F0FA" w:color="auto" w:val="clear"/>
            <w:tcMar>
              <w:top w:type="dxa" w:w="60"/>
              <w:left w:type="dxa" w:w="100"/>
              <w:bottom w:type="dxa" w:w="60"/>
              <w:right w:type="dxa" w:w="100"/>
            </w:tcMar>
          </w:tcPr>
          <w:p>
            <w:r>
              <w:rPr>
                <w:b/>
                <w:bCs/>
                <w:sz w:val="19"/>
                <w:szCs w:val="19"/>
              </w:rPr>
              <w:t xml:space="preserve">Component</w:t>
            </w:r>
          </w:p>
        </w:tc>
        <w:tc>
          <w:tcPr>
            <w:tcW w:type="dxa" w:w="3517"/>
            <w:tcBorders>
              <w:top w:val="single" w:color="C5CCD3" w:sz="4"/>
              <w:left w:val="single" w:color="C5CCD3" w:sz="4"/>
              <w:bottom w:val="single" w:color="C5CCD3" w:sz="4"/>
              <w:right w:val="single" w:color="C5CCD3" w:sz="4"/>
            </w:tcBorders>
            <w:shd w:fill="E8F0FA" w:color="auto" w:val="clear"/>
            <w:tcMar>
              <w:top w:type="dxa" w:w="60"/>
              <w:left w:type="dxa" w:w="100"/>
              <w:bottom w:type="dxa" w:w="60"/>
              <w:right w:type="dxa" w:w="100"/>
            </w:tcMar>
          </w:tcPr>
          <w:p>
            <w:r>
              <w:rPr>
                <w:b/>
                <w:bCs/>
                <w:sz w:val="19"/>
                <w:szCs w:val="19"/>
              </w:rPr>
              <w:t xml:space="preserve">What it is</w:t>
            </w:r>
          </w:p>
        </w:tc>
        <w:tc>
          <w:tcPr>
            <w:tcW w:type="dxa" w:w="1823"/>
            <w:tcBorders>
              <w:top w:val="single" w:color="C5CCD3" w:sz="4"/>
              <w:left w:val="single" w:color="C5CCD3" w:sz="4"/>
              <w:bottom w:val="single" w:color="C5CCD3" w:sz="4"/>
              <w:right w:val="single" w:color="C5CCD3" w:sz="4"/>
            </w:tcBorders>
            <w:shd w:fill="E8F0FA" w:color="auto" w:val="clear"/>
            <w:tcMar>
              <w:top w:type="dxa" w:w="60"/>
              <w:left w:type="dxa" w:w="100"/>
              <w:bottom w:type="dxa" w:w="60"/>
              <w:right w:type="dxa" w:w="100"/>
            </w:tcMar>
          </w:tcPr>
          <w:p>
            <w:r>
              <w:rPr>
                <w:b/>
                <w:bCs/>
                <w:sz w:val="19"/>
                <w:szCs w:val="19"/>
              </w:rPr>
              <w:t xml:space="preserve">Where it runs</w:t>
            </w:r>
          </w:p>
        </w:tc>
        <w:tc>
          <w:tcPr>
            <w:tcW w:type="dxa" w:w="2976"/>
            <w:tcBorders>
              <w:top w:val="single" w:color="C5CCD3" w:sz="4"/>
              <w:left w:val="single" w:color="C5CCD3" w:sz="4"/>
              <w:bottom w:val="single" w:color="C5CCD3" w:sz="4"/>
              <w:right w:val="single" w:color="C5CCD3" w:sz="4"/>
            </w:tcBorders>
            <w:shd w:fill="E8F0FA" w:color="auto" w:val="clear"/>
            <w:tcMar>
              <w:top w:type="dxa" w:w="60"/>
              <w:left w:type="dxa" w:w="100"/>
              <w:bottom w:type="dxa" w:w="60"/>
              <w:right w:type="dxa" w:w="100"/>
            </w:tcMar>
          </w:tcPr>
          <w:p>
            <w:r>
              <w:rPr>
                <w:b/>
                <w:bCs/>
                <w:sz w:val="19"/>
                <w:szCs w:val="19"/>
              </w:rPr>
              <w:t xml:space="preserve">Notes</w:t>
            </w:r>
          </w:p>
        </w:tc>
      </w:tr>
      <w:tr>
        <w:tc>
          <w:tcPr>
            <w:tcW w:type="dxa" w:w="1322"/>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Boomi MFT Cloud</w:t>
            </w:r>
          </w:p>
        </w:tc>
        <w:tc>
          <w:tcPr>
            <w:tcW w:type="dxa" w:w="3517"/>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Control plane, admin portal, Flow Studio, activity tracking, alerting and persistent file storage</w:t>
            </w:r>
          </w:p>
        </w:tc>
        <w:tc>
          <w:tcPr>
            <w:tcW w:type="dxa" w:w="1823"/>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Boomi-hosted</w:t>
            </w:r>
          </w:p>
        </w:tc>
        <w:tc>
          <w:tcPr>
            <w:tcW w:type="dxa" w:w="2976"/>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Files are held until delivered, which underpins guaranteed delivery and automatic retries.</w:t>
            </w:r>
          </w:p>
        </w:tc>
      </w:tr>
      <w:tr>
        <w:tc>
          <w:tcPr>
            <w:tcW w:type="dxa" w:w="1322"/>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Automated File Transfer (AFT)</w:t>
            </w:r>
          </w:p>
        </w:tc>
        <w:tc>
          <w:tcPr>
            <w:tcW w:type="dxa" w:w="3517"/>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System-to-system transfers built from Organizations, Endpoints and Flows</w:t>
            </w:r>
          </w:p>
        </w:tc>
        <w:tc>
          <w:tcPr>
            <w:tcW w:type="dxa" w:w="1823"/>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Boomi MFT Cloud, with the MFT Node for internal endpoints</w:t>
            </w:r>
          </w:p>
        </w:tc>
        <w:tc>
          <w:tcPr>
            <w:tcW w:type="dxa" w:w="2976"/>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Scheduled or API-triggered. See section 3.</w:t>
            </w:r>
          </w:p>
        </w:tc>
      </w:tr>
      <w:tr>
        <w:tc>
          <w:tcPr>
            <w:tcW w:type="dxa" w:w="1322"/>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File Sharing (FS)</w:t>
            </w:r>
          </w:p>
        </w:tc>
        <w:tc>
          <w:tcPr>
            <w:tcW w:type="dxa" w:w="3517"/>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Person-to-person sharing: web app, secure links, MFT Dropbox, Outlook, Office 365 and Salesforce add-ins</w:t>
            </w:r>
          </w:p>
        </w:tc>
        <w:tc>
          <w:tcPr>
            <w:tcW w:type="dxa" w:w="1823"/>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Boomi MFT Cloud</w:t>
            </w:r>
          </w:p>
        </w:tc>
        <w:tc>
          <w:tcPr>
            <w:tcW w:type="dxa" w:w="2976"/>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See section 4.</w:t>
            </w:r>
          </w:p>
        </w:tc>
      </w:tr>
      <w:tr>
        <w:tc>
          <w:tcPr>
            <w:tcW w:type="dxa" w:w="1322"/>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MFT Node (Local Node)</w:t>
            </w:r>
          </w:p>
        </w:tc>
        <w:tc>
          <w:tcPr>
            <w:tcW w:type="dxa" w:w="3517"/>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Runtime agent installed on Windows or Linux inside our network</w:t>
            </w:r>
          </w:p>
        </w:tc>
        <w:tc>
          <w:tcPr>
            <w:tcW w:type="dxa" w:w="1823"/>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Our AWS estate (EC2); Azure in design</w:t>
            </w:r>
          </w:p>
        </w:tc>
        <w:tc>
          <w:tcPr>
            <w:tcW w:type="dxa" w:w="2976"/>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Outbound HTTPS only, token authenticated, orchestrated by the Cloud. See section 5.</w:t>
            </w:r>
          </w:p>
        </w:tc>
      </w:tr>
      <w:tr>
        <w:tc>
          <w:tcPr>
            <w:tcW w:type="dxa" w:w="1322"/>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MFT Server endpoints</w:t>
            </w:r>
          </w:p>
        </w:tc>
        <w:tc>
          <w:tcPr>
            <w:tcW w:type="dxa" w:w="3517"/>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SFTP, FTPS (explicit mode only) and HTTPS servers hosted by MFT for partners</w:t>
            </w:r>
          </w:p>
        </w:tc>
        <w:tc>
          <w:tcPr>
            <w:tcW w:type="dxa" w:w="1823"/>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Boomi MFT Cloud</w:t>
            </w:r>
          </w:p>
        </w:tc>
        <w:tc>
          <w:tcPr>
            <w:tcW w:type="dxa" w:w="2976"/>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A partner needs an MFT user to connect.</w:t>
            </w:r>
          </w:p>
        </w:tc>
      </w:tr>
      <w:tr>
        <w:tc>
          <w:tcPr>
            <w:tcW w:type="dxa" w:w="1322"/>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MFT APIs</w:t>
            </w:r>
          </w:p>
        </w:tc>
        <w:tc>
          <w:tcPr>
            <w:tcW w:type="dxa" w:w="3517"/>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Management, Activity and File Sharing APIs</w:t>
            </w:r>
          </w:p>
        </w:tc>
        <w:tc>
          <w:tcPr>
            <w:tcW w:type="dxa" w:w="1823"/>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Boomi MFT Cloud</w:t>
            </w:r>
          </w:p>
        </w:tc>
        <w:tc>
          <w:tcPr>
            <w:tcW w:type="dxa" w:w="2976"/>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Used for run-now triggers, status queries and self-service provisioning.</w:t>
            </w:r>
          </w:p>
        </w:tc>
      </w:tr>
      <w:tr>
        <w:tc>
          <w:tcPr>
            <w:tcW w:type="dxa" w:w="1322"/>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MFT Connector</w:t>
            </w:r>
          </w:p>
        </w:tc>
        <w:tc>
          <w:tcPr>
            <w:tcW w:type="dxa" w:w="3517"/>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Boomi Integration connector that sends and receives files inside integration processes</w:t>
            </w:r>
          </w:p>
        </w:tc>
        <w:tc>
          <w:tcPr>
            <w:tcW w:type="dxa" w:w="1823"/>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Boomi Integration runtime</w:t>
            </w:r>
          </w:p>
        </w:tc>
        <w:tc>
          <w:tcPr>
            <w:tcW w:type="dxa" w:w="2976"/>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A re-architected next-generation connector is on the Boomi Q3 2026 roadmap.</w:t>
            </w:r>
          </w:p>
        </w:tc>
      </w:tr>
    </w:tbl>
    <w:p>
      <w:pPr>
        <w:spacing w:after="60"/>
      </w:pPr>
    </w:p>
    <w:p>
      <w:pPr>
        <w:pStyle w:val="Heading1"/>
      </w:pPr>
      <w:r>
        <w:t xml:space="preserve">3. Automated File Transfer (AFT)</w:t>
      </w:r>
    </w:p>
    <w:p>
      <w:pPr>
        <w:spacing w:after="120"/>
      </w:pPr>
      <w:r>
        <w:t xml:space="preserve">AFT is managed file transfer as a service for system-to-system exchange. Boomi describes it with a postal model: participants drop off and pick up files, and the Flow decides where each file goes. Internal teams and systems use the same Flows to reach each other's endpoints.</w:t>
      </w:r>
    </w:p>
    <w:p>
      <w:pPr>
        <w:pStyle w:val="Heading2"/>
      </w:pPr>
      <w:r>
        <w:t xml:space="preserve">3.1 Concepts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4971"/>
        <w:gridCol w:w="3167"/>
      </w:tblGrid>
      <w:tr>
        <w:trPr>
          <w:tblHeader/>
        </w:trPr>
        <w:tc>
          <w:tcPr>
            <w:tcW w:type="dxa" w:w="1500"/>
            <w:tcBorders>
              <w:top w:val="single" w:color="C5CCD3" w:sz="4"/>
              <w:left w:val="single" w:color="C5CCD3" w:sz="4"/>
              <w:bottom w:val="single" w:color="C5CCD3" w:sz="4"/>
              <w:right w:val="single" w:color="C5CCD3" w:sz="4"/>
            </w:tcBorders>
            <w:shd w:fill="E8F0FA" w:color="auto" w:val="clear"/>
            <w:tcMar>
              <w:top w:type="dxa" w:w="60"/>
              <w:left w:type="dxa" w:w="100"/>
              <w:bottom w:type="dxa" w:w="60"/>
              <w:right w:type="dxa" w:w="100"/>
            </w:tcMar>
          </w:tcPr>
          <w:p>
            <w:r>
              <w:rPr>
                <w:b/>
                <w:bCs/>
                <w:sz w:val="19"/>
                <w:szCs w:val="19"/>
              </w:rPr>
              <w:t xml:space="preserve">Concept</w:t>
            </w:r>
          </w:p>
        </w:tc>
        <w:tc>
          <w:tcPr>
            <w:tcW w:type="dxa" w:w="4971"/>
            <w:tcBorders>
              <w:top w:val="single" w:color="C5CCD3" w:sz="4"/>
              <w:left w:val="single" w:color="C5CCD3" w:sz="4"/>
              <w:bottom w:val="single" w:color="C5CCD3" w:sz="4"/>
              <w:right w:val="single" w:color="C5CCD3" w:sz="4"/>
            </w:tcBorders>
            <w:shd w:fill="E8F0FA" w:color="auto" w:val="clear"/>
            <w:tcMar>
              <w:top w:type="dxa" w:w="60"/>
              <w:left w:type="dxa" w:w="100"/>
              <w:bottom w:type="dxa" w:w="60"/>
              <w:right w:type="dxa" w:w="100"/>
            </w:tcMar>
          </w:tcPr>
          <w:p>
            <w:r>
              <w:rPr>
                <w:b/>
                <w:bCs/>
                <w:sz w:val="19"/>
                <w:szCs w:val="19"/>
              </w:rPr>
              <w:t xml:space="preserve">Meaning</w:t>
            </w:r>
          </w:p>
        </w:tc>
        <w:tc>
          <w:tcPr>
            <w:tcW w:type="dxa" w:w="3167"/>
            <w:tcBorders>
              <w:top w:val="single" w:color="C5CCD3" w:sz="4"/>
              <w:left w:val="single" w:color="C5CCD3" w:sz="4"/>
              <w:bottom w:val="single" w:color="C5CCD3" w:sz="4"/>
              <w:right w:val="single" w:color="C5CCD3" w:sz="4"/>
            </w:tcBorders>
            <w:shd w:fill="E8F0FA" w:color="auto" w:val="clear"/>
            <w:tcMar>
              <w:top w:type="dxa" w:w="60"/>
              <w:left w:type="dxa" w:w="100"/>
              <w:bottom w:type="dxa" w:w="60"/>
              <w:right w:type="dxa" w:w="100"/>
            </w:tcMar>
          </w:tcPr>
          <w:p>
            <w:r>
              <w:rPr>
                <w:b/>
                <w:bCs/>
                <w:sz w:val="19"/>
                <w:szCs w:val="19"/>
              </w:rPr>
              <w:t xml:space="preserve">Use on the programme</w:t>
            </w:r>
          </w:p>
        </w:tc>
      </w:tr>
      <w:tr>
        <w:tc>
          <w:tcPr>
            <w:tcW w:type="dxa" w:w="1500"/>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Organization</w:t>
            </w:r>
          </w:p>
        </w:tc>
        <w:tc>
          <w:tcPr>
            <w:tcW w:type="dxa" w:w="4971"/>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A participant in file exchange: the enterprise, a partner, an internal team or a system. Once granted access, an Organization manages its own users and reusable endpoints.</w:t>
            </w:r>
          </w:p>
        </w:tc>
        <w:tc>
          <w:tcPr>
            <w:tcW w:type="dxa" w:w="3167"/>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One Organization per business area or partner, created through the onboarding process.</w:t>
            </w:r>
          </w:p>
        </w:tc>
      </w:tr>
      <w:tr>
        <w:tc>
          <w:tcPr>
            <w:tcW w:type="dxa" w:w="1500"/>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Endpoint</w:t>
            </w:r>
          </w:p>
        </w:tc>
        <w:tc>
          <w:tcPr>
            <w:tcW w:type="dxa" w:w="4971"/>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A source or target location. External endpoints: MFT connects out to a server with supplied credentials. MFT Server endpoints: MFT is the server and the partner logs in with an MFT user.</w:t>
            </w:r>
          </w:p>
        </w:tc>
        <w:tc>
          <w:tcPr>
            <w:tcW w:type="dxa" w:w="3167"/>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Endpoints are configuration rows. Credentials are held on the endpoint (gap G-14).</w:t>
            </w:r>
          </w:p>
        </w:tc>
      </w:tr>
      <w:tr>
        <w:tc>
          <w:tcPr>
            <w:tcW w:type="dxa" w:w="1500"/>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Flow</w:t>
            </w:r>
          </w:p>
        </w:tc>
        <w:tc>
          <w:tcPr>
            <w:tcW w:type="dxa" w:w="4971"/>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The file exchange process. Organizations subscribe by attaching source and target Flow Endpoints, with path mapping and settings.</w:t>
            </w:r>
          </w:p>
        </w:tc>
        <w:tc>
          <w:tcPr>
            <w:tcW w:type="dxa" w:w="3167"/>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A small set of generic Flows per transfer type, not one build per interface.</w:t>
            </w:r>
          </w:p>
        </w:tc>
      </w:tr>
      <w:tr>
        <w:tc>
          <w:tcPr>
            <w:tcW w:type="dxa" w:w="1500"/>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Flow Studio</w:t>
            </w:r>
          </w:p>
        </w:tc>
        <w:tc>
          <w:tcPr>
            <w:tcW w:type="dxa" w:w="4971"/>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Browser tool to design Flows, attach Flow Endpoints and send a test file.</w:t>
            </w:r>
          </w:p>
        </w:tc>
        <w:tc>
          <w:tcPr>
            <w:tcW w:type="dxa" w:w="3167"/>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Platform team and approved administrators.</w:t>
            </w:r>
          </w:p>
        </w:tc>
      </w:tr>
      <w:tr>
        <w:tc>
          <w:tcPr>
            <w:tcW w:type="dxa" w:w="1500"/>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Activity and Alerts</w:t>
            </w:r>
          </w:p>
        </w:tc>
        <w:tc>
          <w:tcPr>
            <w:tcW w:type="dxa" w:w="4971"/>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Activity screen and Activity API show the status of each transfer. The Alerts dashboard shows failed transfers to both enterprise and partner administrators.</w:t>
            </w:r>
          </w:p>
        </w:tc>
        <w:tc>
          <w:tcPr>
            <w:tcW w:type="dxa" w:w="3167"/>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Feeds operational monitoring and the MVP evidence pack.</w:t>
            </w:r>
          </w:p>
        </w:tc>
      </w:tr>
    </w:tbl>
    <w:p>
      <w:pPr>
        <w:spacing w:after="60"/>
      </w:pPr>
    </w:p>
    <w:p>
      <w:pPr>
        <w:pStyle w:val="Heading2"/>
      </w:pPr>
      <w:r>
        <w:t xml:space="preserve">3.2 Endpoint types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9"/>
        <w:gridCol w:w="7629"/>
      </w:tblGrid>
      <w:tr>
        <w:trPr>
          <w:tblHeader/>
        </w:trPr>
        <w:tc>
          <w:tcPr>
            <w:tcW w:type="dxa" w:w="2009"/>
            <w:tcBorders>
              <w:top w:val="single" w:color="C5CCD3" w:sz="4"/>
              <w:left w:val="single" w:color="C5CCD3" w:sz="4"/>
              <w:bottom w:val="single" w:color="C5CCD3" w:sz="4"/>
              <w:right w:val="single" w:color="C5CCD3" w:sz="4"/>
            </w:tcBorders>
            <w:shd w:fill="E8F0FA" w:color="auto" w:val="clear"/>
            <w:tcMar>
              <w:top w:type="dxa" w:w="60"/>
              <w:left w:type="dxa" w:w="100"/>
              <w:bottom w:type="dxa" w:w="60"/>
              <w:right w:type="dxa" w:w="100"/>
            </w:tcMar>
          </w:tcPr>
          <w:p>
            <w:r>
              <w:rPr>
                <w:b/>
                <w:bCs/>
                <w:sz w:val="19"/>
                <w:szCs w:val="19"/>
              </w:rPr>
              <w:t xml:space="preserve">Endpoint type</w:t>
            </w:r>
          </w:p>
        </w:tc>
        <w:tc>
          <w:tcPr>
            <w:tcW w:type="dxa" w:w="7629"/>
            <w:tcBorders>
              <w:top w:val="single" w:color="C5CCD3" w:sz="4"/>
              <w:left w:val="single" w:color="C5CCD3" w:sz="4"/>
              <w:bottom w:val="single" w:color="C5CCD3" w:sz="4"/>
              <w:right w:val="single" w:color="C5CCD3" w:sz="4"/>
            </w:tcBorders>
            <w:shd w:fill="E8F0FA" w:color="auto" w:val="clear"/>
            <w:tcMar>
              <w:top w:type="dxa" w:w="60"/>
              <w:left w:type="dxa" w:w="100"/>
              <w:bottom w:type="dxa" w:w="60"/>
              <w:right w:type="dxa" w:w="100"/>
            </w:tcMar>
          </w:tcPr>
          <w:p>
            <w:r>
              <w:rPr>
                <w:b/>
                <w:bCs/>
                <w:sz w:val="19"/>
                <w:szCs w:val="19"/>
              </w:rPr>
              <w:t xml:space="preserve">Typical use</w:t>
            </w:r>
          </w:p>
        </w:tc>
      </w:tr>
      <w:tr>
        <w:tc>
          <w:tcPr>
            <w:tcW w:type="dxa" w:w="2009"/>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MFT SFTP Server</w:t>
            </w:r>
          </w:p>
        </w:tc>
        <w:tc>
          <w:tcPr>
            <w:tcW w:type="dxa" w:w="7629"/>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Partner pushes or pulls files over SFTP to a server hosted by MFT</w:t>
            </w:r>
          </w:p>
        </w:tc>
      </w:tr>
      <w:tr>
        <w:tc>
          <w:tcPr>
            <w:tcW w:type="dxa" w:w="2009"/>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MFT FTPS Server</w:t>
            </w:r>
          </w:p>
        </w:tc>
        <w:tc>
          <w:tcPr>
            <w:tcW w:type="dxa" w:w="7629"/>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As above over FTPS; explicit mode only</w:t>
            </w:r>
          </w:p>
        </w:tc>
      </w:tr>
      <w:tr>
        <w:tc>
          <w:tcPr>
            <w:tcW w:type="dxa" w:w="2009"/>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MFT HTTPS</w:t>
            </w:r>
          </w:p>
        </w:tc>
        <w:tc>
          <w:tcPr>
            <w:tcW w:type="dxa" w:w="7629"/>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Upload and download over HTTPS</w:t>
            </w:r>
          </w:p>
        </w:tc>
      </w:tr>
      <w:tr>
        <w:tc>
          <w:tcPr>
            <w:tcW w:type="dxa" w:w="2009"/>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External SFTP Server</w:t>
            </w:r>
          </w:p>
        </w:tc>
        <w:tc>
          <w:tcPr>
            <w:tcW w:type="dxa" w:w="7629"/>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MFT connects to a partner or SaaS SFTP server, for example a Pega landing zone</w:t>
            </w:r>
          </w:p>
        </w:tc>
      </w:tr>
      <w:tr>
        <w:tc>
          <w:tcPr>
            <w:tcW w:type="dxa" w:w="2009"/>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External FTPS Server</w:t>
            </w:r>
          </w:p>
        </w:tc>
        <w:tc>
          <w:tcPr>
            <w:tcW w:type="dxa" w:w="7629"/>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MFT connects to a partner FTPS server</w:t>
            </w:r>
          </w:p>
        </w:tc>
      </w:tr>
      <w:tr>
        <w:tc>
          <w:tcPr>
            <w:tcW w:type="dxa" w:w="2009"/>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File Share / MFT Node</w:t>
            </w:r>
          </w:p>
        </w:tc>
        <w:tc>
          <w:tcPr>
            <w:tcW w:type="dxa" w:w="7629"/>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Local folders and LAN shares reached through an MFT Node (not the File Sharing application)</w:t>
            </w:r>
          </w:p>
        </w:tc>
      </w:tr>
      <w:tr>
        <w:tc>
          <w:tcPr>
            <w:tcW w:type="dxa" w:w="2009"/>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Amazon S3</w:t>
            </w:r>
          </w:p>
        </w:tc>
        <w:tc>
          <w:tcPr>
            <w:tcW w:type="dxa" w:w="7629"/>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S3 buckets; internal buckets are reached through the MFT Node in our design</w:t>
            </w:r>
          </w:p>
        </w:tc>
      </w:tr>
      <w:tr>
        <w:tc>
          <w:tcPr>
            <w:tcW w:type="dxa" w:w="2009"/>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Azure Blob</w:t>
            </w:r>
          </w:p>
        </w:tc>
        <w:tc>
          <w:tcPr>
            <w:tcW w:type="dxa" w:w="7629"/>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Azure Blob containers</w:t>
            </w:r>
          </w:p>
        </w:tc>
      </w:tr>
      <w:tr>
        <w:tc>
          <w:tcPr>
            <w:tcW w:type="dxa" w:w="2009"/>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Azure Files</w:t>
            </w:r>
          </w:p>
        </w:tc>
        <w:tc>
          <w:tcPr>
            <w:tcW w:type="dxa" w:w="7629"/>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Azure file shares</w:t>
            </w:r>
          </w:p>
        </w:tc>
      </w:tr>
      <w:tr>
        <w:tc>
          <w:tcPr>
            <w:tcW w:type="dxa" w:w="2009"/>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Google Cloud Storage</w:t>
            </w:r>
          </w:p>
        </w:tc>
        <w:tc>
          <w:tcPr>
            <w:tcW w:type="dxa" w:w="7629"/>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GCS buckets</w:t>
            </w:r>
          </w:p>
        </w:tc>
      </w:tr>
      <w:tr>
        <w:tc>
          <w:tcPr>
            <w:tcW w:type="dxa" w:w="2009"/>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SharePoint</w:t>
            </w:r>
          </w:p>
        </w:tc>
        <w:tc>
          <w:tcPr>
            <w:tcW w:type="dxa" w:w="7629"/>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SharePoint document libraries</w:t>
            </w:r>
          </w:p>
        </w:tc>
      </w:tr>
      <w:tr>
        <w:tc>
          <w:tcPr>
            <w:tcW w:type="dxa" w:w="2009"/>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Managed File Transfer Connector</w:t>
            </w:r>
          </w:p>
        </w:tc>
        <w:tc>
          <w:tcPr>
            <w:tcW w:type="dxa" w:w="7629"/>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Hand-off to and from Boomi Integration processes</w:t>
            </w:r>
          </w:p>
        </w:tc>
      </w:tr>
      <w:tr>
        <w:tc>
          <w:tcPr>
            <w:tcW w:type="dxa" w:w="2009"/>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MFT File Sharing</w:t>
            </w:r>
          </w:p>
        </w:tc>
        <w:tc>
          <w:tcPr>
            <w:tcW w:type="dxa" w:w="7629"/>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Hand-off between AFT Flows and File Sharing folders</w:t>
            </w:r>
          </w:p>
        </w:tc>
      </w:tr>
    </w:tbl>
    <w:p>
      <w:pPr>
        <w:spacing w:after="60"/>
      </w:pPr>
    </w:p>
    <w:p>
      <w:pPr>
        <w:pBdr>
          <w:left w:val="single" w:color="7A5A00" w:sz="24" w:space="6"/>
        </w:pBdr>
        <w:shd w:fill="FDF3D6" w:color="auto" w:val="clear"/>
        <w:spacing w:after="160" w:before="80"/>
      </w:pPr>
      <w:r>
        <w:rPr>
          <w:sz w:val="20"/>
          <w:szCs w:val="20"/>
        </w:rPr>
        <w:t xml:space="preserve">New endpoint types can be requested through Boomi Support.</w:t>
      </w:r>
    </w:p>
    <w:p>
      <w:pPr>
        <w:pStyle w:val="Heading2"/>
      </w:pPr>
      <w:r>
        <w:t xml:space="preserve">3.3 Key capabilities</w:t>
      </w:r>
    </w:p>
    <w:p>
      <w:pPr>
        <w:pStyle w:val="ListParagraph"/>
        <w:numPr>
          <w:ilvl w:val="0"/>
          <w:numId w:val="2"/>
        </w:numPr>
      </w:pPr>
      <w:r>
        <w:t xml:space="preserve">Triggering: schedules on source Flow Endpoints (four frequency options), or an API call that runs a Flow Endpoint now when an upstream event says files are ready.</w:t>
      </w:r>
    </w:p>
    <w:p>
      <w:pPr>
        <w:pStyle w:val="ListParagraph"/>
        <w:numPr>
          <w:ilvl w:val="0"/>
          <w:numId w:val="2"/>
        </w:numPr>
      </w:pPr>
      <w:r>
        <w:t xml:space="preserve">Guaranteed delivery: files persist in MFT storage until delivered, Flow state survives retries, and failed transfers retry automatically.</w:t>
      </w:r>
    </w:p>
    <w:p>
      <w:pPr>
        <w:pStyle w:val="ListParagraph"/>
        <w:numPr>
          <w:ilvl w:val="0"/>
          <w:numId w:val="2"/>
        </w:numPr>
      </w:pPr>
      <w:r>
        <w:t xml:space="preserve">Fan-out: a Flow can have many subscribers. If one subscriber or endpoint is disabled, the Flow still runs for the others.</w:t>
      </w:r>
    </w:p>
    <w:p>
      <w:pPr>
        <w:pStyle w:val="ListParagraph"/>
        <w:numPr>
          <w:ilvl w:val="0"/>
          <w:numId w:val="2"/>
        </w:numPr>
      </w:pPr>
      <w:r>
        <w:t xml:space="preserve">Hybrid execution: external endpoints can be served by the Cloud or by an MFT Node (Node Direct). With Node Direct, connections start from the Node's IP addresses, so partners must allow-list those.</w:t>
      </w:r>
    </w:p>
    <w:p>
      <w:pPr>
        <w:pStyle w:val="ListParagraph"/>
        <w:numPr>
          <w:ilvl w:val="0"/>
          <w:numId w:val="2"/>
        </w:numPr>
      </w:pPr>
      <w:r>
        <w:t xml:space="preserve">Concurrency: transfer concurrency is set per Flow Endpoint and the Node follows that setting.</w:t>
      </w:r>
    </w:p>
    <w:p>
      <w:pPr>
        <w:pStyle w:val="ListParagraph"/>
        <w:numPr>
          <w:ilvl w:val="0"/>
          <w:numId w:val="2"/>
        </w:numPr>
      </w:pPr>
      <w:r>
        <w:t xml:space="preserve">Visibility: Activity screen and API, alert emails per Node and per Flow, and audit history.</w:t>
      </w:r>
    </w:p>
    <w:p>
      <w:pPr>
        <w:pStyle w:val="ListParagraph"/>
        <w:numPr>
          <w:ilvl w:val="0"/>
          <w:numId w:val="2"/>
        </w:numPr>
      </w:pPr>
      <w:r>
        <w:t xml:space="preserve">Integration: the MFT Connector and APIs let Boomi Integration processes and API Management start or consume transfers.</w:t>
      </w:r>
    </w:p>
    <w:p>
      <w:pPr>
        <w:pBdr>
          <w:left w:val="single" w:color="7A5A00" w:sz="24" w:space="6"/>
        </w:pBdr>
        <w:shd w:fill="FDF3D6" w:color="auto" w:val="clear"/>
        <w:spacing w:after="160" w:before="80"/>
      </w:pPr>
      <w:r>
        <w:rPr>
          <w:sz w:val="20"/>
          <w:szCs w:val="20"/>
        </w:rPr>
        <w:t xml:space="preserve">Operational caution: when an Organization endpoint changes (for example a password or key rotation), the change must be carried to every Flow that uses it. Plan credential rotation with this in mind (G-14).</w:t>
      </w:r>
    </w:p>
    <w:p>
      <w:pPr>
        <w:pStyle w:val="Heading2"/>
      </w:pPr>
      <w:r>
        <w:t xml:space="preserve">3.4 Roadmap items to confirm</w:t>
      </w:r>
    </w:p>
    <w:p>
      <w:pPr>
        <w:spacing w:after="120"/>
      </w:pPr>
      <w:r>
        <w:t xml:space="preserve">These items are on the Boomi Q3 2026 product roadmap. They are not assumed in our design until Boomi confirms them for our tenant.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502"/>
        <w:gridCol w:w="4136"/>
      </w:tblGrid>
      <w:tr>
        <w:trPr>
          <w:tblHeader/>
        </w:trPr>
        <w:tc>
          <w:tcPr>
            <w:tcW w:type="dxa" w:w="5502"/>
            <w:tcBorders>
              <w:top w:val="single" w:color="C5CCD3" w:sz="4"/>
              <w:left w:val="single" w:color="C5CCD3" w:sz="4"/>
              <w:bottom w:val="single" w:color="C5CCD3" w:sz="4"/>
              <w:right w:val="single" w:color="C5CCD3" w:sz="4"/>
            </w:tcBorders>
            <w:shd w:fill="E8F0FA" w:color="auto" w:val="clear"/>
            <w:tcMar>
              <w:top w:type="dxa" w:w="60"/>
              <w:left w:type="dxa" w:w="100"/>
              <w:bottom w:type="dxa" w:w="60"/>
              <w:right w:type="dxa" w:w="100"/>
            </w:tcMar>
          </w:tcPr>
          <w:p>
            <w:r>
              <w:rPr>
                <w:b/>
                <w:bCs/>
                <w:sz w:val="19"/>
                <w:szCs w:val="19"/>
              </w:rPr>
              <w:t xml:space="preserve">Roadmap item</w:t>
            </w:r>
          </w:p>
        </w:tc>
        <w:tc>
          <w:tcPr>
            <w:tcW w:type="dxa" w:w="4136"/>
            <w:tcBorders>
              <w:top w:val="single" w:color="C5CCD3" w:sz="4"/>
              <w:left w:val="single" w:color="C5CCD3" w:sz="4"/>
              <w:bottom w:val="single" w:color="C5CCD3" w:sz="4"/>
              <w:right w:val="single" w:color="C5CCD3" w:sz="4"/>
            </w:tcBorders>
            <w:shd w:fill="E8F0FA" w:color="auto" w:val="clear"/>
            <w:tcMar>
              <w:top w:type="dxa" w:w="60"/>
              <w:left w:type="dxa" w:w="100"/>
              <w:bottom w:type="dxa" w:w="60"/>
              <w:right w:type="dxa" w:w="100"/>
            </w:tcMar>
          </w:tcPr>
          <w:p>
            <w:r>
              <w:rPr>
                <w:b/>
                <w:bCs/>
                <w:sz w:val="19"/>
                <w:szCs w:val="19"/>
              </w:rPr>
              <w:t xml:space="preserve">Relevance to the programme</w:t>
            </w:r>
          </w:p>
        </w:tc>
      </w:tr>
      <w:tr>
        <w:tc>
          <w:tcPr>
            <w:tcW w:type="dxa" w:w="5502"/>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AV scanning on the Windows MFT runtime using Microsoft Defender, holding each file until a passed, quarantined or error result is reported to the control plane</w:t>
            </w:r>
          </w:p>
        </w:tc>
        <w:tc>
          <w:tcPr>
            <w:tcW w:type="dxa" w:w="4136"/>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Could replace the custom MDE scan step and report AV status centrally. Does not by itself remove the size limit (G-15).</w:t>
            </w:r>
          </w:p>
        </w:tc>
      </w:tr>
      <w:tr>
        <w:tc>
          <w:tcPr>
            <w:tcW w:type="dxa" w:w="5502"/>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External command on the MFT runtime after download from the Cloud and before delivery to the target</w:t>
            </w:r>
          </w:p>
        </w:tc>
        <w:tc>
          <w:tcPr>
            <w:tcW w:type="dxa" w:w="4136"/>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Hook for checksum checks, decryption or local processing.</w:t>
            </w:r>
          </w:p>
        </w:tc>
      </w:tr>
      <w:tr>
        <w:tc>
          <w:tcPr>
            <w:tcW w:type="dxa" w:w="5502"/>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Endpoint metadata tags (for example data class or encryption) carried into the Activity API, screens and logs</w:t>
            </w:r>
          </w:p>
        </w:tc>
        <w:tc>
          <w:tcPr>
            <w:tcW w:type="dxa" w:w="4136"/>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Supports data classification reporting and audit.</w:t>
            </w:r>
          </w:p>
        </w:tc>
      </w:tr>
      <w:tr>
        <w:tc>
          <w:tcPr>
            <w:tcW w:type="dxa" w:w="5502"/>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Next-generation MFT Connector</w:t>
            </w:r>
          </w:p>
        </w:tc>
        <w:tc>
          <w:tcPr>
            <w:tcW w:type="dxa" w:w="4136"/>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Affects Boomi Integration processes that move files.</w:t>
            </w:r>
          </w:p>
        </w:tc>
      </w:tr>
    </w:tbl>
    <w:p>
      <w:pPr>
        <w:spacing w:after="60"/>
      </w:pPr>
    </w:p>
    <w:p>
      <w:pPr>
        <w:pStyle w:val="Heading1"/>
      </w:pPr>
      <w:r>
        <w:t xml:space="preserve">4. File Sharing (FS)</w:t>
      </w:r>
    </w:p>
    <w:p>
      <w:pPr>
        <w:spacing w:after="120"/>
      </w:pPr>
      <w:r>
        <w:t xml:space="preserve">FS is the person-to-person side of Boomi MFT: a managed, virtualised file system for sharing large files with internal teams and external parties, with the policy controls and audit that email attachments and consumer file-sharing tools lack.</w:t>
      </w:r>
    </w:p>
    <w:p>
      <w:pPr>
        <w:pStyle w:val="Heading2"/>
      </w:pPr>
      <w:r>
        <w:t xml:space="preserve">4.1 Capabilities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3"/>
        <w:gridCol w:w="8085"/>
      </w:tblGrid>
      <w:tr>
        <w:trPr>
          <w:tblHeader/>
        </w:trPr>
        <w:tc>
          <w:tcPr>
            <w:tcW w:type="dxa" w:w="1553"/>
            <w:tcBorders>
              <w:top w:val="single" w:color="C5CCD3" w:sz="4"/>
              <w:left w:val="single" w:color="C5CCD3" w:sz="4"/>
              <w:bottom w:val="single" w:color="C5CCD3" w:sz="4"/>
              <w:right w:val="single" w:color="C5CCD3" w:sz="4"/>
            </w:tcBorders>
            <w:shd w:fill="E8F0FA" w:color="auto" w:val="clear"/>
            <w:tcMar>
              <w:top w:type="dxa" w:w="60"/>
              <w:left w:type="dxa" w:w="100"/>
              <w:bottom w:type="dxa" w:w="60"/>
              <w:right w:type="dxa" w:w="100"/>
            </w:tcMar>
          </w:tcPr>
          <w:p>
            <w:r>
              <w:rPr>
                <w:b/>
                <w:bCs/>
                <w:sz w:val="19"/>
                <w:szCs w:val="19"/>
              </w:rPr>
              <w:t xml:space="preserve">Capability</w:t>
            </w:r>
          </w:p>
        </w:tc>
        <w:tc>
          <w:tcPr>
            <w:tcW w:type="dxa" w:w="8085"/>
            <w:tcBorders>
              <w:top w:val="single" w:color="C5CCD3" w:sz="4"/>
              <w:left w:val="single" w:color="C5CCD3" w:sz="4"/>
              <w:bottom w:val="single" w:color="C5CCD3" w:sz="4"/>
              <w:right w:val="single" w:color="C5CCD3" w:sz="4"/>
            </w:tcBorders>
            <w:shd w:fill="E8F0FA" w:color="auto" w:val="clear"/>
            <w:tcMar>
              <w:top w:type="dxa" w:w="60"/>
              <w:left w:type="dxa" w:w="100"/>
              <w:bottom w:type="dxa" w:w="60"/>
              <w:right w:type="dxa" w:w="100"/>
            </w:tcMar>
          </w:tcPr>
          <w:p>
            <w:r>
              <w:rPr>
                <w:b/>
                <w:bCs/>
                <w:sz w:val="19"/>
                <w:szCs w:val="19"/>
              </w:rPr>
              <w:t xml:space="preserve">Description</w:t>
            </w:r>
          </w:p>
        </w:tc>
      </w:tr>
      <w:tr>
        <w:tc>
          <w:tcPr>
            <w:tcW w:type="dxa" w:w="1553"/>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Web application</w:t>
            </w:r>
          </w:p>
        </w:tc>
        <w:tc>
          <w:tcPr>
            <w:tcW w:type="dxa" w:w="8085"/>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Browse, upload, download and share files and folders from any browser, including mobile browsers. Access is set per folder and per member.</w:t>
            </w:r>
          </w:p>
        </w:tc>
      </w:tr>
      <w:tr>
        <w:tc>
          <w:tcPr>
            <w:tcW w:type="dxa" w:w="1553"/>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Secure send</w:t>
            </w:r>
          </w:p>
        </w:tc>
        <w:tc>
          <w:tcPr>
            <w:tcW w:type="dxa" w:w="8085"/>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Send files or folders of any size as a link. Policies can require the recipient to log in, set link expiry and confirm delivery.</w:t>
            </w:r>
          </w:p>
        </w:tc>
      </w:tr>
      <w:tr>
        <w:tc>
          <w:tcPr>
            <w:tcW w:type="dxa" w:w="1553"/>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MFT Dropbox</w:t>
            </w:r>
          </w:p>
        </w:tc>
        <w:tc>
          <w:tcPr>
            <w:tcW w:type="dxa" w:w="8085"/>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A link that lets people without an MFT account upload files into a user's Dropbox folder. The owner gets an email when files arrive. The URL can be customised.</w:t>
            </w:r>
          </w:p>
        </w:tc>
      </w:tr>
      <w:tr>
        <w:tc>
          <w:tcPr>
            <w:tcW w:type="dxa" w:w="1553"/>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Outlook add-in</w:t>
            </w:r>
          </w:p>
        </w:tc>
        <w:tc>
          <w:tcPr>
            <w:tcW w:type="dxa" w:w="8085"/>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Send large attachments as secure links from Outlook. The side panel uploads, downloads and files emails into MFT folders. Installs MFT Explorer for desktop access.</w:t>
            </w:r>
          </w:p>
        </w:tc>
      </w:tr>
      <w:tr>
        <w:tc>
          <w:tcPr>
            <w:tcW w:type="dxa" w:w="1553"/>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Office 365 add-in</w:t>
            </w:r>
          </w:p>
        </w:tc>
        <w:tc>
          <w:tcPr>
            <w:tcW w:type="dxa" w:w="8085"/>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Open, edit and save Word, Excel and PowerPoint files held in MFT.</w:t>
            </w:r>
          </w:p>
        </w:tc>
      </w:tr>
      <w:tr>
        <w:tc>
          <w:tcPr>
            <w:tcW w:type="dxa" w:w="1553"/>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Salesforce add-in</w:t>
            </w:r>
          </w:p>
        </w:tc>
        <w:tc>
          <w:tcPr>
            <w:tcW w:type="dxa" w:w="8085"/>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Send files from Salesforce securely. Needs an API-enabled Salesforce org (Enterprise edition or above).</w:t>
            </w:r>
          </w:p>
        </w:tc>
      </w:tr>
      <w:tr>
        <w:tc>
          <w:tcPr>
            <w:tcW w:type="dxa" w:w="1553"/>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Mobile</w:t>
            </w:r>
          </w:p>
        </w:tc>
        <w:tc>
          <w:tcPr>
            <w:tcW w:type="dxa" w:w="8085"/>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iOS app to open and edit files.</w:t>
            </w:r>
          </w:p>
        </w:tc>
      </w:tr>
      <w:tr>
        <w:tc>
          <w:tcPr>
            <w:tcW w:type="dxa" w:w="1553"/>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FS APIs and AFT hand-off</w:t>
            </w:r>
          </w:p>
        </w:tc>
        <w:tc>
          <w:tcPr>
            <w:tcW w:type="dxa" w:w="8085"/>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FS APIs support automation. The MFT File Sharing endpoint type lets AFT Flows pick up from or drop into FS folders.</w:t>
            </w:r>
          </w:p>
        </w:tc>
      </w:tr>
    </w:tbl>
    <w:p>
      <w:pPr>
        <w:spacing w:after="60"/>
      </w:pPr>
    </w:p>
    <w:p>
      <w:pPr>
        <w:pStyle w:val="Heading2"/>
      </w:pPr>
      <w:r>
        <w:t xml:space="preserve">4.2 AFT and FS compared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90"/>
        <w:gridCol w:w="4193"/>
        <w:gridCol w:w="4155"/>
      </w:tblGrid>
      <w:tr>
        <w:trPr>
          <w:tblHeader/>
        </w:trPr>
        <w:tc>
          <w:tcPr>
            <w:tcW w:type="dxa" w:w="1290"/>
            <w:tcBorders>
              <w:top w:val="single" w:color="C5CCD3" w:sz="4"/>
              <w:left w:val="single" w:color="C5CCD3" w:sz="4"/>
              <w:bottom w:val="single" w:color="C5CCD3" w:sz="4"/>
              <w:right w:val="single" w:color="C5CCD3" w:sz="4"/>
            </w:tcBorders>
            <w:shd w:fill="E8F0FA" w:color="auto" w:val="clear"/>
            <w:tcMar>
              <w:top w:type="dxa" w:w="60"/>
              <w:left w:type="dxa" w:w="100"/>
              <w:bottom w:type="dxa" w:w="60"/>
              <w:right w:type="dxa" w:w="100"/>
            </w:tcMar>
          </w:tcPr>
          <w:p>
            <w:r>
              <w:rPr>
                <w:b/>
                <w:bCs/>
                <w:sz w:val="19"/>
                <w:szCs w:val="19"/>
              </w:rPr>
              <w:t xml:space="preserve">Aspect</w:t>
            </w:r>
          </w:p>
        </w:tc>
        <w:tc>
          <w:tcPr>
            <w:tcW w:type="dxa" w:w="4193"/>
            <w:tcBorders>
              <w:top w:val="single" w:color="C5CCD3" w:sz="4"/>
              <w:left w:val="single" w:color="C5CCD3" w:sz="4"/>
              <w:bottom w:val="single" w:color="C5CCD3" w:sz="4"/>
              <w:right w:val="single" w:color="C5CCD3" w:sz="4"/>
            </w:tcBorders>
            <w:shd w:fill="E8F0FA" w:color="auto" w:val="clear"/>
            <w:tcMar>
              <w:top w:type="dxa" w:w="60"/>
              <w:left w:type="dxa" w:w="100"/>
              <w:bottom w:type="dxa" w:w="60"/>
              <w:right w:type="dxa" w:w="100"/>
            </w:tcMar>
          </w:tcPr>
          <w:p>
            <w:r>
              <w:rPr>
                <w:b/>
                <w:bCs/>
                <w:sz w:val="19"/>
                <w:szCs w:val="19"/>
              </w:rPr>
              <w:t xml:space="preserve">Automated File Transfer (AFT)</w:t>
            </w:r>
          </w:p>
        </w:tc>
        <w:tc>
          <w:tcPr>
            <w:tcW w:type="dxa" w:w="4155"/>
            <w:tcBorders>
              <w:top w:val="single" w:color="C5CCD3" w:sz="4"/>
              <w:left w:val="single" w:color="C5CCD3" w:sz="4"/>
              <w:bottom w:val="single" w:color="C5CCD3" w:sz="4"/>
              <w:right w:val="single" w:color="C5CCD3" w:sz="4"/>
            </w:tcBorders>
            <w:shd w:fill="E8F0FA" w:color="auto" w:val="clear"/>
            <w:tcMar>
              <w:top w:type="dxa" w:w="60"/>
              <w:left w:type="dxa" w:w="100"/>
              <w:bottom w:type="dxa" w:w="60"/>
              <w:right w:type="dxa" w:w="100"/>
            </w:tcMar>
          </w:tcPr>
          <w:p>
            <w:r>
              <w:rPr>
                <w:b/>
                <w:bCs/>
                <w:sz w:val="19"/>
                <w:szCs w:val="19"/>
              </w:rPr>
              <w:t xml:space="preserve">File Sharing (FS)</w:t>
            </w:r>
          </w:p>
        </w:tc>
      </w:tr>
      <w:tr>
        <w:tc>
          <w:tcPr>
            <w:tcW w:type="dxa" w:w="1290"/>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Purpose</w:t>
            </w:r>
          </w:p>
        </w:tc>
        <w:tc>
          <w:tcPr>
            <w:tcW w:type="dxa" w:w="4193"/>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System-to-system, repeatable transfers</w:t>
            </w:r>
          </w:p>
        </w:tc>
        <w:tc>
          <w:tcPr>
            <w:tcW w:type="dxa" w:w="4155"/>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Person-to-person, ad hoc sharing</w:t>
            </w:r>
          </w:p>
        </w:tc>
      </w:tr>
      <w:tr>
        <w:tc>
          <w:tcPr>
            <w:tcW w:type="dxa" w:w="1290"/>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Users</w:t>
            </w:r>
          </w:p>
        </w:tc>
        <w:tc>
          <w:tcPr>
            <w:tcW w:type="dxa" w:w="4193"/>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Platform team, partner and system administrators</w:t>
            </w:r>
          </w:p>
        </w:tc>
        <w:tc>
          <w:tcPr>
            <w:tcW w:type="dxa" w:w="4155"/>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Staff, agents, citizens, external stakeholders</w:t>
            </w:r>
          </w:p>
        </w:tc>
      </w:tr>
      <w:tr>
        <w:tc>
          <w:tcPr>
            <w:tcW w:type="dxa" w:w="1290"/>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Trigger</w:t>
            </w:r>
          </w:p>
        </w:tc>
        <w:tc>
          <w:tcPr>
            <w:tcW w:type="dxa" w:w="4193"/>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Schedule, API run-now, file arrival</w:t>
            </w:r>
          </w:p>
        </w:tc>
        <w:tc>
          <w:tcPr>
            <w:tcW w:type="dxa" w:w="4155"/>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A user sends, shares or uploads</w:t>
            </w:r>
          </w:p>
        </w:tc>
      </w:tr>
      <w:tr>
        <w:tc>
          <w:tcPr>
            <w:tcW w:type="dxa" w:w="1290"/>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Interfaces</w:t>
            </w:r>
          </w:p>
        </w:tc>
        <w:tc>
          <w:tcPr>
            <w:tcW w:type="dxa" w:w="4193"/>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Flow Studio, protocol endpoints, Activity API, MFT Connector</w:t>
            </w:r>
          </w:p>
        </w:tc>
        <w:tc>
          <w:tcPr>
            <w:tcW w:type="dxa" w:w="4155"/>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Web app, Dropbox links, Outlook, Office 365, Salesforce, mobile, FS APIs</w:t>
            </w:r>
          </w:p>
        </w:tc>
      </w:tr>
      <w:tr>
        <w:tc>
          <w:tcPr>
            <w:tcW w:type="dxa" w:w="1290"/>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Controls</w:t>
            </w:r>
          </w:p>
        </w:tc>
        <w:tc>
          <w:tcPr>
            <w:tcW w:type="dxa" w:w="4193"/>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Endpoint credentials, Flow settings, retries, alerts</w:t>
            </w:r>
          </w:p>
        </w:tc>
        <w:tc>
          <w:tcPr>
            <w:tcW w:type="dxa" w:w="4155"/>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Login on download, link expiry, folder permissions, notifications</w:t>
            </w:r>
          </w:p>
        </w:tc>
      </w:tr>
      <w:tr>
        <w:tc>
          <w:tcPr>
            <w:tcW w:type="dxa" w:w="1290"/>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Example</w:t>
            </w:r>
          </w:p>
        </w:tc>
        <w:tc>
          <w:tcPr>
            <w:tcW w:type="dxa" w:w="4193"/>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Scheduled feed from an internal S3 bucket to a partner SFTP server</w:t>
            </w:r>
          </w:p>
        </w:tc>
        <w:tc>
          <w:tcPr>
            <w:tcW w:type="dxa" w:w="4155"/>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A citizen uploads evidence through a Dropbox link</w:t>
            </w:r>
          </w:p>
        </w:tc>
      </w:tr>
    </w:tbl>
    <w:p>
      <w:pPr>
        <w:spacing w:after="60"/>
      </w:pPr>
    </w:p>
    <w:p>
      <w:pPr>
        <w:pBdr>
          <w:left w:val="single" w:color="7A5A00" w:sz="24" w:space="6"/>
        </w:pBdr>
        <w:shd w:fill="FDF3D6" w:color="auto" w:val="clear"/>
        <w:spacing w:after="160" w:before="80"/>
      </w:pPr>
      <w:r>
        <w:rPr>
          <w:sz w:val="20"/>
          <w:szCs w:val="20"/>
        </w:rPr>
        <w:t xml:space="preserve">Naming trap: the AFT "File Share" endpoint type is a LAN network share reached through an MFT Node. It is unrelated to the File Sharing (FS) application. Write "File Share endpoint" and "File Sharing (FS)" in full in all material.</w:t>
      </w:r>
    </w:p>
    <w:p>
      <w:pPr>
        <w:pStyle w:val="Heading2"/>
      </w:pPr>
      <w:r>
        <w:t xml:space="preserve">4.3 FS on the programme</w:t>
      </w:r>
    </w:p>
    <w:p>
      <w:pPr>
        <w:spacing w:after="120"/>
      </w:pPr>
      <w:r>
        <w:t xml:space="preserve">The FS capability design covers two use cases: citizens uploading and downloading through MFT Dropbox links, and agents creating dynamic links from within SMIC. FS is not part of the MVP. Six decisions are open and need named owners before FS is offered to users.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75"/>
        <w:gridCol w:w="6229"/>
        <w:gridCol w:w="2434"/>
      </w:tblGrid>
      <w:tr>
        <w:trPr>
          <w:tblHeader/>
        </w:trPr>
        <w:tc>
          <w:tcPr>
            <w:tcW w:type="dxa" w:w="975"/>
            <w:tcBorders>
              <w:top w:val="single" w:color="C5CCD3" w:sz="4"/>
              <w:left w:val="single" w:color="C5CCD3" w:sz="4"/>
              <w:bottom w:val="single" w:color="C5CCD3" w:sz="4"/>
              <w:right w:val="single" w:color="C5CCD3" w:sz="4"/>
            </w:tcBorders>
            <w:shd w:fill="E8F0FA" w:color="auto" w:val="clear"/>
            <w:tcMar>
              <w:top w:type="dxa" w:w="60"/>
              <w:left w:type="dxa" w:w="100"/>
              <w:bottom w:type="dxa" w:w="60"/>
              <w:right w:type="dxa" w:w="100"/>
            </w:tcMar>
          </w:tcPr>
          <w:p>
            <w:r>
              <w:rPr>
                <w:b/>
                <w:bCs/>
                <w:sz w:val="19"/>
                <w:szCs w:val="19"/>
              </w:rPr>
              <w:t xml:space="preserve">ID</w:t>
            </w:r>
          </w:p>
        </w:tc>
        <w:tc>
          <w:tcPr>
            <w:tcW w:type="dxa" w:w="6229"/>
            <w:tcBorders>
              <w:top w:val="single" w:color="C5CCD3" w:sz="4"/>
              <w:left w:val="single" w:color="C5CCD3" w:sz="4"/>
              <w:bottom w:val="single" w:color="C5CCD3" w:sz="4"/>
              <w:right w:val="single" w:color="C5CCD3" w:sz="4"/>
            </w:tcBorders>
            <w:shd w:fill="E8F0FA" w:color="auto" w:val="clear"/>
            <w:tcMar>
              <w:top w:type="dxa" w:w="60"/>
              <w:left w:type="dxa" w:w="100"/>
              <w:bottom w:type="dxa" w:w="60"/>
              <w:right w:type="dxa" w:w="100"/>
            </w:tcMar>
          </w:tcPr>
          <w:p>
            <w:r>
              <w:rPr>
                <w:b/>
                <w:bCs/>
                <w:sz w:val="19"/>
                <w:szCs w:val="19"/>
              </w:rPr>
              <w:t xml:space="preserve">Decision required</w:t>
            </w:r>
          </w:p>
        </w:tc>
        <w:tc>
          <w:tcPr>
            <w:tcW w:type="dxa" w:w="2434"/>
            <w:tcBorders>
              <w:top w:val="single" w:color="C5CCD3" w:sz="4"/>
              <w:left w:val="single" w:color="C5CCD3" w:sz="4"/>
              <w:bottom w:val="single" w:color="C5CCD3" w:sz="4"/>
              <w:right w:val="single" w:color="C5CCD3" w:sz="4"/>
            </w:tcBorders>
            <w:shd w:fill="E8F0FA" w:color="auto" w:val="clear"/>
            <w:tcMar>
              <w:top w:type="dxa" w:w="60"/>
              <w:left w:type="dxa" w:w="100"/>
              <w:bottom w:type="dxa" w:w="60"/>
              <w:right w:type="dxa" w:w="100"/>
            </w:tcMar>
          </w:tcPr>
          <w:p>
            <w:r>
              <w:rPr>
                <w:b/>
                <w:bCs/>
                <w:sz w:val="19"/>
                <w:szCs w:val="19"/>
              </w:rPr>
              <w:t xml:space="preserve">Proposed owner role</w:t>
            </w:r>
          </w:p>
        </w:tc>
      </w:tr>
      <w:tr>
        <w:tc>
          <w:tcPr>
            <w:tcW w:type="dxa" w:w="975"/>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D-FS-01</w:t>
            </w:r>
          </w:p>
        </w:tc>
        <w:tc>
          <w:tcPr>
            <w:tcW w:type="dxa" w:w="6229"/>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Dropbox posture for citizens: public link, or protected by registration or login</w:t>
            </w:r>
          </w:p>
        </w:tc>
        <w:tc>
          <w:tcPr>
            <w:tcW w:type="dxa" w:w="2434"/>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Security Architect</w:t>
            </w:r>
          </w:p>
        </w:tc>
      </w:tr>
      <w:tr>
        <w:tc>
          <w:tcPr>
            <w:tcW w:type="dxa" w:w="975"/>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D-FS-02</w:t>
            </w:r>
          </w:p>
        </w:tc>
        <w:tc>
          <w:tcPr>
            <w:tcW w:type="dxa" w:w="6229"/>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Dynamic link policy for agents: who can create links, expiry, login requirement and download limits</w:t>
            </w:r>
          </w:p>
        </w:tc>
        <w:tc>
          <w:tcPr>
            <w:tcW w:type="dxa" w:w="2434"/>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Service Owner with Security Architect</w:t>
            </w:r>
          </w:p>
        </w:tc>
      </w:tr>
      <w:tr>
        <w:tc>
          <w:tcPr>
            <w:tcW w:type="dxa" w:w="975"/>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D-FS-03</w:t>
            </w:r>
          </w:p>
        </w:tc>
        <w:tc>
          <w:tcPr>
            <w:tcW w:type="dxa" w:w="6229"/>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AV scan ceiling for citizen uploads and the behaviour for files above it (G-15)</w:t>
            </w:r>
          </w:p>
        </w:tc>
        <w:tc>
          <w:tcPr>
            <w:tcW w:type="dxa" w:w="2434"/>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Boomi Platform Owner with Security Architect</w:t>
            </w:r>
          </w:p>
        </w:tc>
      </w:tr>
      <w:tr>
        <w:tc>
          <w:tcPr>
            <w:tcW w:type="dxa" w:w="975"/>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D-FS-04</w:t>
            </w:r>
          </w:p>
        </w:tc>
        <w:tc>
          <w:tcPr>
            <w:tcW w:type="dxa" w:w="6229"/>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Treatment of the absence of native DLP on the citizen channel</w:t>
            </w:r>
          </w:p>
        </w:tc>
        <w:tc>
          <w:tcPr>
            <w:tcW w:type="dxa" w:w="2434"/>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Security Architect</w:t>
            </w:r>
          </w:p>
        </w:tc>
      </w:tr>
      <w:tr>
        <w:tc>
          <w:tcPr>
            <w:tcW w:type="dxa" w:w="975"/>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D-FS-05</w:t>
            </w:r>
          </w:p>
        </w:tc>
        <w:tc>
          <w:tcPr>
            <w:tcW w:type="dxa" w:w="6229"/>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Retention and data protection lifecycle for shared files and links, covered by the DPIA</w:t>
            </w:r>
          </w:p>
        </w:tc>
        <w:tc>
          <w:tcPr>
            <w:tcW w:type="dxa" w:w="2434"/>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Data Protection Officer</w:t>
            </w:r>
          </w:p>
        </w:tc>
      </w:tr>
      <w:tr>
        <w:tc>
          <w:tcPr>
            <w:tcW w:type="dxa" w:w="975"/>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D-FS-06</w:t>
            </w:r>
          </w:p>
        </w:tc>
        <w:tc>
          <w:tcPr>
            <w:tcW w:type="dxa" w:w="6229"/>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Standard terminology for FS features in user-facing and design material</w:t>
            </w:r>
          </w:p>
        </w:tc>
        <w:tc>
          <w:tcPr>
            <w:tcW w:type="dxa" w:w="2434"/>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Integration Architect</w:t>
            </w:r>
          </w:p>
        </w:tc>
      </w:tr>
    </w:tbl>
    <w:p>
      <w:pPr>
        <w:spacing w:after="60"/>
      </w:pPr>
    </w:p>
    <w:p>
      <w:pPr>
        <w:pStyle w:val="Heading1"/>
      </w:pPr>
      <w:r>
        <w:t xml:space="preserve">5. Deployment on the programme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8067"/>
      </w:tblGrid>
      <w:tr>
        <w:trPr>
          <w:tblHeader/>
        </w:trPr>
        <w:tc>
          <w:tcPr>
            <w:tcW w:type="dxa" w:w="1571"/>
            <w:tcBorders>
              <w:top w:val="single" w:color="C5CCD3" w:sz="4"/>
              <w:left w:val="single" w:color="C5CCD3" w:sz="4"/>
              <w:bottom w:val="single" w:color="C5CCD3" w:sz="4"/>
              <w:right w:val="single" w:color="C5CCD3" w:sz="4"/>
            </w:tcBorders>
            <w:shd w:fill="E8F0FA" w:color="auto" w:val="clear"/>
            <w:tcMar>
              <w:top w:type="dxa" w:w="60"/>
              <w:left w:type="dxa" w:w="100"/>
              <w:bottom w:type="dxa" w:w="60"/>
              <w:right w:type="dxa" w:w="100"/>
            </w:tcMar>
          </w:tcPr>
          <w:p>
            <w:r>
              <w:rPr>
                <w:b/>
                <w:bCs/>
                <w:sz w:val="19"/>
                <w:szCs w:val="19"/>
              </w:rPr>
              <w:t xml:space="preserve">Area</w:t>
            </w:r>
          </w:p>
        </w:tc>
        <w:tc>
          <w:tcPr>
            <w:tcW w:type="dxa" w:w="8067"/>
            <w:tcBorders>
              <w:top w:val="single" w:color="C5CCD3" w:sz="4"/>
              <w:left w:val="single" w:color="C5CCD3" w:sz="4"/>
              <w:bottom w:val="single" w:color="C5CCD3" w:sz="4"/>
              <w:right w:val="single" w:color="C5CCD3" w:sz="4"/>
            </w:tcBorders>
            <w:shd w:fill="E8F0FA" w:color="auto" w:val="clear"/>
            <w:tcMar>
              <w:top w:type="dxa" w:w="60"/>
              <w:left w:type="dxa" w:w="100"/>
              <w:bottom w:type="dxa" w:w="60"/>
              <w:right w:type="dxa" w:w="100"/>
            </w:tcMar>
          </w:tcPr>
          <w:p>
            <w:r>
              <w:rPr>
                <w:b/>
                <w:bCs/>
                <w:sz w:val="19"/>
                <w:szCs w:val="19"/>
              </w:rPr>
              <w:t xml:space="preserve">Position</w:t>
            </w:r>
          </w:p>
        </w:tc>
      </w:tr>
      <w:tr>
        <w:tc>
          <w:tcPr>
            <w:tcW w:type="dxa" w:w="1571"/>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Tenant and environments</w:t>
            </w:r>
          </w:p>
        </w:tc>
        <w:tc>
          <w:tcPr>
            <w:tcW w:type="dxa" w:w="8067"/>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Boomi MFT Cloud tenant with dev, test, pre-prod and prod, each with its own vanity DNS name (CNAME to the Boomi MFT host).</w:t>
            </w:r>
          </w:p>
        </w:tc>
      </w:tr>
      <w:tr>
        <w:tc>
          <w:tcPr>
            <w:tcW w:type="dxa" w:w="1571"/>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Runtime</w:t>
            </w:r>
          </w:p>
        </w:tc>
        <w:tc>
          <w:tcPr>
            <w:tcW w:type="dxa" w:w="8067"/>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MFT Node on EC2 in the internal AWS estate for internal endpoints (S3, file shares). A clustered Node layer across three availability zones, on AWS with EFS and on Azure with Azure Files, behind a load balancer, is in design.</w:t>
            </w:r>
          </w:p>
        </w:tc>
      </w:tr>
      <w:tr>
        <w:tc>
          <w:tcPr>
            <w:tcW w:type="dxa" w:w="1571"/>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Connectivity</w:t>
            </w:r>
          </w:p>
        </w:tc>
        <w:tc>
          <w:tcPr>
            <w:tcW w:type="dxa" w:w="8067"/>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The Node connects out to the Cloud over HTTPS with token authentication and pulls its configuration by polling. Nothing is opened inbound to the internal network. Partner and SaaS allow-lists must include Boomi Cloud egress IPs, or Node IPs where Node Direct is used.</w:t>
            </w:r>
          </w:p>
        </w:tc>
      </w:tr>
      <w:tr>
        <w:tc>
          <w:tcPr>
            <w:tcW w:type="dxa" w:w="1571"/>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Protocols at the edge</w:t>
            </w:r>
          </w:p>
        </w:tc>
        <w:tc>
          <w:tcPr>
            <w:tcW w:type="dxa" w:w="8067"/>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SFTP and FTPS cannot be proxied by HTTP-aware load balancers. FTPS needs multi-channel persistence, TLS termination loses client identity, and source NAT breaks IP allow-lists. Run a proving exercise before committing delivery dates.</w:t>
            </w:r>
          </w:p>
        </w:tc>
      </w:tr>
      <w:tr>
        <w:tc>
          <w:tcPr>
            <w:tcW w:type="dxa" w:w="1571"/>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Antivirus</w:t>
            </w:r>
          </w:p>
        </w:tc>
        <w:tc>
          <w:tcPr>
            <w:tcW w:type="dxa" w:w="8067"/>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Windows MDE scan on the internal route, limit about 250 MB (G-15). Files above the limit need an explicit design and are never released unscanned.</w:t>
            </w:r>
          </w:p>
        </w:tc>
      </w:tr>
      <w:tr>
        <w:tc>
          <w:tcPr>
            <w:tcW w:type="dxa" w:w="1571"/>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Node operations</w:t>
            </w:r>
          </w:p>
        </w:tc>
        <w:tc>
          <w:tcPr>
            <w:tcW w:type="dxa" w:w="8067"/>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The Node caches files locally; Boomi guidance allows up to 1 TB for high volumes or large files. It checks for updates every 15 minutes. Deleting a Node in the portal uninstalls it at its next check. Windows installs run as a scheduled task; Linux uses systemd or crontab.</w:t>
            </w:r>
          </w:p>
        </w:tc>
      </w:tr>
      <w:tr>
        <w:tc>
          <w:tcPr>
            <w:tcW w:type="dxa" w:w="1571"/>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Onboarding</w:t>
            </w:r>
          </w:p>
        </w:tc>
        <w:tc>
          <w:tcPr>
            <w:tcW w:type="dxa" w:w="8067"/>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Intelligrator self-service portal: an approved request becomes a configuration row consumed by one generic engine, not a new build per interface.</w:t>
            </w:r>
          </w:p>
        </w:tc>
      </w:tr>
      <w:tr>
        <w:tc>
          <w:tcPr>
            <w:tcW w:type="dxa" w:w="1571"/>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Current consumer</w:t>
            </w:r>
          </w:p>
        </w:tc>
        <w:tc>
          <w:tcPr>
            <w:tcW w:type="dxa" w:w="8067"/>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SDEC uses MFT transient storage for document upload through presigned URLs, with platform enhancements for document status and delete (SDEC-MFT-API-01 to 03).</w:t>
            </w:r>
          </w:p>
        </w:tc>
      </w:tr>
    </w:tbl>
    <w:p>
      <w:pPr>
        <w:spacing w:after="60"/>
      </w:pPr>
    </w:p>
    <w:p>
      <w:pPr>
        <w:pStyle w:val="Heading1"/>
      </w:pPr>
      <w:r>
        <w:t xml:space="preserve">6. Gaps and security baseline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0"/>
        <w:gridCol w:w="2775"/>
        <w:gridCol w:w="2645"/>
        <w:gridCol w:w="2171"/>
        <w:gridCol w:w="1387"/>
      </w:tblGrid>
      <w:tr>
        <w:trPr>
          <w:tblHeader/>
        </w:trPr>
        <w:tc>
          <w:tcPr>
            <w:tcW w:type="dxa" w:w="660"/>
            <w:tcBorders>
              <w:top w:val="single" w:color="C5CCD3" w:sz="4"/>
              <w:left w:val="single" w:color="C5CCD3" w:sz="4"/>
              <w:bottom w:val="single" w:color="C5CCD3" w:sz="4"/>
              <w:right w:val="single" w:color="C5CCD3" w:sz="4"/>
            </w:tcBorders>
            <w:shd w:fill="E8F0FA" w:color="auto" w:val="clear"/>
            <w:tcMar>
              <w:top w:type="dxa" w:w="60"/>
              <w:left w:type="dxa" w:w="100"/>
              <w:bottom w:type="dxa" w:w="60"/>
              <w:right w:type="dxa" w:w="100"/>
            </w:tcMar>
          </w:tcPr>
          <w:p>
            <w:r>
              <w:rPr>
                <w:b/>
                <w:bCs/>
                <w:sz w:val="19"/>
                <w:szCs w:val="19"/>
              </w:rPr>
              <w:t xml:space="preserve">ID</w:t>
            </w:r>
          </w:p>
        </w:tc>
        <w:tc>
          <w:tcPr>
            <w:tcW w:type="dxa" w:w="2775"/>
            <w:tcBorders>
              <w:top w:val="single" w:color="C5CCD3" w:sz="4"/>
              <w:left w:val="single" w:color="C5CCD3" w:sz="4"/>
              <w:bottom w:val="single" w:color="C5CCD3" w:sz="4"/>
              <w:right w:val="single" w:color="C5CCD3" w:sz="4"/>
            </w:tcBorders>
            <w:shd w:fill="E8F0FA" w:color="auto" w:val="clear"/>
            <w:tcMar>
              <w:top w:type="dxa" w:w="60"/>
              <w:left w:type="dxa" w:w="100"/>
              <w:bottom w:type="dxa" w:w="60"/>
              <w:right w:type="dxa" w:w="100"/>
            </w:tcMar>
          </w:tcPr>
          <w:p>
            <w:r>
              <w:rPr>
                <w:b/>
                <w:bCs/>
                <w:sz w:val="19"/>
                <w:szCs w:val="19"/>
              </w:rPr>
              <w:t xml:space="preserve">Gap</w:t>
            </w:r>
          </w:p>
        </w:tc>
        <w:tc>
          <w:tcPr>
            <w:tcW w:type="dxa" w:w="2645"/>
            <w:tcBorders>
              <w:top w:val="single" w:color="C5CCD3" w:sz="4"/>
              <w:left w:val="single" w:color="C5CCD3" w:sz="4"/>
              <w:bottom w:val="single" w:color="C5CCD3" w:sz="4"/>
              <w:right w:val="single" w:color="C5CCD3" w:sz="4"/>
            </w:tcBorders>
            <w:shd w:fill="E8F0FA" w:color="auto" w:val="clear"/>
            <w:tcMar>
              <w:top w:type="dxa" w:w="60"/>
              <w:left w:type="dxa" w:w="100"/>
              <w:bottom w:type="dxa" w:w="60"/>
              <w:right w:type="dxa" w:w="100"/>
            </w:tcMar>
          </w:tcPr>
          <w:p>
            <w:r>
              <w:rPr>
                <w:b/>
                <w:bCs/>
                <w:sz w:val="19"/>
                <w:szCs w:val="19"/>
              </w:rPr>
              <w:t xml:space="preserve">Impact</w:t>
            </w:r>
          </w:p>
        </w:tc>
        <w:tc>
          <w:tcPr>
            <w:tcW w:type="dxa" w:w="2171"/>
            <w:tcBorders>
              <w:top w:val="single" w:color="C5CCD3" w:sz="4"/>
              <w:left w:val="single" w:color="C5CCD3" w:sz="4"/>
              <w:bottom w:val="single" w:color="C5CCD3" w:sz="4"/>
              <w:right w:val="single" w:color="C5CCD3" w:sz="4"/>
            </w:tcBorders>
            <w:shd w:fill="E8F0FA" w:color="auto" w:val="clear"/>
            <w:tcMar>
              <w:top w:type="dxa" w:w="60"/>
              <w:left w:type="dxa" w:w="100"/>
              <w:bottom w:type="dxa" w:w="60"/>
              <w:right w:type="dxa" w:w="100"/>
            </w:tcMar>
          </w:tcPr>
          <w:p>
            <w:r>
              <w:rPr>
                <w:b/>
                <w:bCs/>
                <w:sz w:val="19"/>
                <w:szCs w:val="19"/>
              </w:rPr>
              <w:t xml:space="preserve">Treatment</w:t>
            </w:r>
          </w:p>
        </w:tc>
        <w:tc>
          <w:tcPr>
            <w:tcW w:type="dxa" w:w="1387"/>
            <w:tcBorders>
              <w:top w:val="single" w:color="C5CCD3" w:sz="4"/>
              <w:left w:val="single" w:color="C5CCD3" w:sz="4"/>
              <w:bottom w:val="single" w:color="C5CCD3" w:sz="4"/>
              <w:right w:val="single" w:color="C5CCD3" w:sz="4"/>
            </w:tcBorders>
            <w:shd w:fill="E8F0FA" w:color="auto" w:val="clear"/>
            <w:tcMar>
              <w:top w:type="dxa" w:w="60"/>
              <w:left w:type="dxa" w:w="100"/>
              <w:bottom w:type="dxa" w:w="60"/>
              <w:right w:type="dxa" w:w="100"/>
            </w:tcMar>
          </w:tcPr>
          <w:p>
            <w:r>
              <w:rPr>
                <w:b/>
                <w:bCs/>
                <w:sz w:val="19"/>
                <w:szCs w:val="19"/>
              </w:rPr>
              <w:t xml:space="preserve">Owner role</w:t>
            </w:r>
          </w:p>
        </w:tc>
      </w:tr>
      <w:tr>
        <w:tc>
          <w:tcPr>
            <w:tcW w:type="dxa" w:w="660"/>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G-13</w:t>
            </w:r>
          </w:p>
        </w:tc>
        <w:tc>
          <w:tcPr>
            <w:tcW w:type="dxa" w:w="2775"/>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No native CI/CD pipeline for MFT configuration</w:t>
            </w:r>
          </w:p>
        </w:tc>
        <w:tc>
          <w:tcPr>
            <w:tcW w:type="dxa" w:w="2645"/>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Configuration rows are data, outside standard build and rollback</w:t>
            </w:r>
          </w:p>
        </w:tc>
        <w:tc>
          <w:tcPr>
            <w:tcW w:type="dxa" w:w="2171"/>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Agree the promotion mechanism and evidence rollback (D-MVP-06)</w:t>
            </w:r>
          </w:p>
        </w:tc>
        <w:tc>
          <w:tcPr>
            <w:tcW w:type="dxa" w:w="1387"/>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Boomi Platform Owner</w:t>
            </w:r>
          </w:p>
        </w:tc>
      </w:tr>
      <w:tr>
        <w:tc>
          <w:tcPr>
            <w:tcW w:type="dxa" w:w="660"/>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G-14</w:t>
            </w:r>
          </w:p>
        </w:tc>
        <w:tc>
          <w:tcPr>
            <w:tcW w:type="dxa" w:w="2775"/>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No documented native route to source MFT credentials from enterprise PAM (CyberArk)</w:t>
            </w:r>
          </w:p>
        </w:tc>
        <w:tc>
          <w:tcPr>
            <w:tcW w:type="dxa" w:w="2645"/>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Manual credential handling</w:t>
            </w:r>
          </w:p>
        </w:tc>
        <w:tc>
          <w:tcPr>
            <w:tcW w:type="dxa" w:w="2171"/>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Interim controlled process with audit (D-MVP-04)</w:t>
            </w:r>
          </w:p>
        </w:tc>
        <w:tc>
          <w:tcPr>
            <w:tcW w:type="dxa" w:w="1387"/>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Security Architect</w:t>
            </w:r>
          </w:p>
        </w:tc>
      </w:tr>
      <w:tr>
        <w:tc>
          <w:tcPr>
            <w:tcW w:type="dxa" w:w="660"/>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G-15</w:t>
            </w:r>
          </w:p>
        </w:tc>
        <w:tc>
          <w:tcPr>
            <w:tcW w:type="dxa" w:w="2775"/>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AV scan limit about 250 MB via Windows MDE</w:t>
            </w:r>
          </w:p>
        </w:tc>
        <w:tc>
          <w:tcPr>
            <w:tcW w:type="dxa" w:w="2645"/>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Large files cannot be scanned on the current route</w:t>
            </w:r>
          </w:p>
        </w:tc>
        <w:tc>
          <w:tcPr>
            <w:tcW w:type="dxa" w:w="2171"/>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Large-file design or a size cap; fail closed</w:t>
            </w:r>
          </w:p>
        </w:tc>
        <w:tc>
          <w:tcPr>
            <w:tcW w:type="dxa" w:w="1387"/>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Boomi Platform Owner</w:t>
            </w:r>
          </w:p>
        </w:tc>
      </w:tr>
      <w:tr>
        <w:tc>
          <w:tcPr>
            <w:tcW w:type="dxa" w:w="660"/>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FS gap</w:t>
            </w:r>
          </w:p>
        </w:tc>
        <w:tc>
          <w:tcPr>
            <w:tcW w:type="dxa" w:w="2775"/>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No native DLP on the FS citizen channel</w:t>
            </w:r>
          </w:p>
        </w:tc>
        <w:tc>
          <w:tcPr>
            <w:tcW w:type="dxa" w:w="2645"/>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Sensitive content could be shared without inspection</w:t>
            </w:r>
          </w:p>
        </w:tc>
        <w:tc>
          <w:tcPr>
            <w:tcW w:type="dxa" w:w="2171"/>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Decision D-FS-04</w:t>
            </w:r>
          </w:p>
        </w:tc>
        <w:tc>
          <w:tcPr>
            <w:tcW w:type="dxa" w:w="1387"/>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Security Architect</w:t>
            </w:r>
          </w:p>
        </w:tc>
      </w:tr>
    </w:tbl>
    <w:p>
      <w:pPr>
        <w:spacing w:after="60"/>
      </w:pPr>
    </w:p>
    <w:p>
      <w:pPr>
        <w:pStyle w:val="Heading2"/>
      </w:pPr>
      <w:r>
        <w:t xml:space="preserve">6.1 Security baseline for every transfer</w:t>
      </w:r>
    </w:p>
    <w:p>
      <w:pPr>
        <w:pStyle w:val="ListParagraph"/>
        <w:numPr>
          <w:ilvl w:val="0"/>
          <w:numId w:val="2"/>
        </w:numPr>
      </w:pPr>
      <w:r>
        <w:t xml:space="preserve">TLS 1.2 minimum (1.3 preferred) on every leg; no plaintext FTP.</w:t>
      </w:r>
    </w:p>
    <w:p>
      <w:pPr>
        <w:pStyle w:val="ListParagraph"/>
        <w:numPr>
          <w:ilvl w:val="0"/>
          <w:numId w:val="2"/>
        </w:numPr>
      </w:pPr>
      <w:r>
        <w:t xml:space="preserve">Credentials held outside configuration where the platform allows, with the G-14 interim control recorded where it does not.</w:t>
      </w:r>
    </w:p>
    <w:p>
      <w:pPr>
        <w:pStyle w:val="ListParagraph"/>
        <w:numPr>
          <w:ilvl w:val="0"/>
          <w:numId w:val="2"/>
        </w:numPr>
      </w:pPr>
      <w:r>
        <w:t xml:space="preserve">Least-privilege IAM roles and KMS keys on S3 locations used by the Node; encryption at rest throughout.</w:t>
      </w:r>
    </w:p>
    <w:p>
      <w:pPr>
        <w:pStyle w:val="ListParagraph"/>
        <w:numPr>
          <w:ilvl w:val="0"/>
          <w:numId w:val="2"/>
        </w:numPr>
      </w:pPr>
      <w:r>
        <w:t xml:space="preserve">AV scan before any inbound file lands internally. A scanner fault fails closed and the file is not delivered.</w:t>
      </w:r>
    </w:p>
    <w:p>
      <w:pPr>
        <w:pStyle w:val="ListParagraph"/>
        <w:numPr>
          <w:ilvl w:val="0"/>
          <w:numId w:val="2"/>
        </w:numPr>
      </w:pPr>
      <w:r>
        <w:t xml:space="preserve">An audit record per transfer: source, target, file name, size, SHA-256, start and end time, outcome and correlation ID.</w:t>
      </w:r>
    </w:p>
    <w:p>
      <w:pPr>
        <w:pStyle w:val="Heading1"/>
      </w:pPr>
      <w:r>
        <w:t xml:space="preserve">7. Design principles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4"/>
        <w:gridCol w:w="7324"/>
      </w:tblGrid>
      <w:tr>
        <w:trPr>
          <w:tblHeader/>
        </w:trPr>
        <w:tc>
          <w:tcPr>
            <w:tcW w:type="dxa" w:w="2314"/>
            <w:tcBorders>
              <w:top w:val="single" w:color="C5CCD3" w:sz="4"/>
              <w:left w:val="single" w:color="C5CCD3" w:sz="4"/>
              <w:bottom w:val="single" w:color="C5CCD3" w:sz="4"/>
              <w:right w:val="single" w:color="C5CCD3" w:sz="4"/>
            </w:tcBorders>
            <w:shd w:fill="E8F0FA" w:color="auto" w:val="clear"/>
            <w:tcMar>
              <w:top w:type="dxa" w:w="60"/>
              <w:left w:type="dxa" w:w="100"/>
              <w:bottom w:type="dxa" w:w="60"/>
              <w:right w:type="dxa" w:w="100"/>
            </w:tcMar>
          </w:tcPr>
          <w:p>
            <w:r>
              <w:rPr>
                <w:b/>
                <w:bCs/>
                <w:sz w:val="19"/>
                <w:szCs w:val="19"/>
              </w:rPr>
              <w:t xml:space="preserve">Principle</w:t>
            </w:r>
          </w:p>
        </w:tc>
        <w:tc>
          <w:tcPr>
            <w:tcW w:type="dxa" w:w="7324"/>
            <w:tcBorders>
              <w:top w:val="single" w:color="C5CCD3" w:sz="4"/>
              <w:left w:val="single" w:color="C5CCD3" w:sz="4"/>
              <w:bottom w:val="single" w:color="C5CCD3" w:sz="4"/>
              <w:right w:val="single" w:color="C5CCD3" w:sz="4"/>
            </w:tcBorders>
            <w:shd w:fill="E8F0FA" w:color="auto" w:val="clear"/>
            <w:tcMar>
              <w:top w:type="dxa" w:w="60"/>
              <w:left w:type="dxa" w:w="100"/>
              <w:bottom w:type="dxa" w:w="60"/>
              <w:right w:type="dxa" w:w="100"/>
            </w:tcMar>
          </w:tcPr>
          <w:p>
            <w:r>
              <w:rPr>
                <w:b/>
                <w:bCs/>
                <w:sz w:val="19"/>
                <w:szCs w:val="19"/>
              </w:rPr>
              <w:t xml:space="preserve">What it means for MFT</w:t>
            </w:r>
          </w:p>
        </w:tc>
      </w:tr>
      <w:tr>
        <w:tc>
          <w:tcPr>
            <w:tcW w:type="dxa" w:w="2314"/>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Config over construction</w:t>
            </w:r>
          </w:p>
        </w:tc>
        <w:tc>
          <w:tcPr>
            <w:tcW w:type="dxa" w:w="7324"/>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A new transfer is a configuration row on a generic Flow, never a new component per interface.</w:t>
            </w:r>
          </w:p>
        </w:tc>
      </w:tr>
      <w:tr>
        <w:tc>
          <w:tcPr>
            <w:tcW w:type="dxa" w:w="2314"/>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Prove it before you promise it</w:t>
            </w:r>
          </w:p>
        </w:tc>
        <w:tc>
          <w:tcPr>
            <w:tcW w:type="dxa" w:w="7324"/>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Capabilities and dates are committed only after proving work, with decisions owned by named roles.</w:t>
            </w:r>
          </w:p>
        </w:tc>
      </w:tr>
      <w:tr>
        <w:tc>
          <w:tcPr>
            <w:tcW w:type="dxa" w:w="2314"/>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Visibility as a feature</w:t>
            </w:r>
          </w:p>
        </w:tc>
        <w:tc>
          <w:tcPr>
            <w:tcW w:type="dxa" w:w="7324"/>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Activity, alerting and audit are requirements, not extras.</w:t>
            </w:r>
          </w:p>
        </w:tc>
      </w:tr>
      <w:tr>
        <w:tc>
          <w:tcPr>
            <w:tcW w:type="dxa" w:w="2314"/>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Surface tensions</w:t>
            </w:r>
          </w:p>
        </w:tc>
        <w:tc>
          <w:tcPr>
            <w:tcW w:type="dxa" w:w="7324"/>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Overlaps with the incumbent estate and other programmes are logged as decisions with owners, not resolved silently.</w:t>
            </w:r>
          </w:p>
        </w:tc>
      </w:tr>
    </w:tbl>
    <w:p>
      <w:pPr>
        <w:spacing w:after="60"/>
      </w:pPr>
    </w:p>
    <w:p>
      <w:pPr>
        <w:pStyle w:val="Heading1"/>
      </w:pPr>
      <w:r>
        <w:t xml:space="preserve">8. References</w:t>
      </w:r>
    </w:p>
    <w:p>
      <w:pPr>
        <w:pStyle w:val="ListParagraph"/>
        <w:numPr>
          <w:ilvl w:val="0"/>
          <w:numId w:val="2"/>
        </w:numPr>
      </w:pPr>
      <w:hyperlink w:history="1" r:id="rIda9nqafedpca6to7m3fgh7">
        <w:r>
          <w:rPr>
            <w:rStyle w:val="Hyperlink"/>
          </w:rPr>
          <w:t xml:space="preserve">Boomi MFT overview</w:t>
        </w:r>
      </w:hyperlink>
      <w:r>
        <w:rPr>
          <w:color w:val="52606D"/>
          <w:sz w:val="18"/>
          <w:szCs w:val="18"/>
        </w:rPr>
        <w:t xml:space="preserve">: https://help.boomi.com/docs/Atomsphere/Integration/MFT/boomi_mft</w:t>
      </w:r>
    </w:p>
    <w:p>
      <w:pPr>
        <w:pStyle w:val="ListParagraph"/>
        <w:numPr>
          <w:ilvl w:val="0"/>
          <w:numId w:val="2"/>
        </w:numPr>
      </w:pPr>
      <w:hyperlink w:history="1" r:id="rIdlng8ih_cyum4capczg7zu">
        <w:r>
          <w:rPr>
            <w:rStyle w:val="Hyperlink"/>
          </w:rPr>
          <w:t xml:space="preserve">Automated File Transfer</w:t>
        </w:r>
      </w:hyperlink>
      <w:r>
        <w:rPr>
          <w:color w:val="52606D"/>
          <w:sz w:val="18"/>
          <w:szCs w:val="18"/>
        </w:rPr>
        <w:t xml:space="preserve">: https://help.boomi.com/docs/Atomsphere/Integration/MFT/AutomatedFileTransfer/aft</w:t>
      </w:r>
    </w:p>
    <w:p>
      <w:pPr>
        <w:pStyle w:val="ListParagraph"/>
        <w:numPr>
          <w:ilvl w:val="0"/>
          <w:numId w:val="2"/>
        </w:numPr>
      </w:pPr>
      <w:hyperlink w:history="1" r:id="rIdl8hmjbl2xxda1wduy17g3">
        <w:r>
          <w:rPr>
            <w:rStyle w:val="Hyperlink"/>
          </w:rPr>
          <w:t xml:space="preserve">AFT endpoint types</w:t>
        </w:r>
      </w:hyperlink>
      <w:r>
        <w:rPr>
          <w:color w:val="52606D"/>
          <w:sz w:val="18"/>
          <w:szCs w:val="18"/>
        </w:rPr>
        <w:t xml:space="preserve">: https://help.boomi.com/docs/Atomsphere/Integration/MFT/AutomatedFileTransfer/user-guide/organizations/endpoint-types/</w:t>
      </w:r>
    </w:p>
    <w:p>
      <w:pPr>
        <w:pStyle w:val="ListParagraph"/>
        <w:numPr>
          <w:ilvl w:val="0"/>
          <w:numId w:val="2"/>
        </w:numPr>
      </w:pPr>
      <w:hyperlink w:history="1" r:id="rId3dgtbgpokenfxtffpqkz0">
        <w:r>
          <w:rPr>
            <w:rStyle w:val="Hyperlink"/>
          </w:rPr>
          <w:t xml:space="preserve">MFT Nodes</w:t>
        </w:r>
      </w:hyperlink>
      <w:r>
        <w:rPr>
          <w:color w:val="52606D"/>
          <w:sz w:val="18"/>
          <w:szCs w:val="18"/>
        </w:rPr>
        <w:t xml:space="preserve">: https://help.boomi.com/docs/Atomsphere/Integration/MFT/AutomatedFileTransfer/user-guide/organizations/mftnodes/</w:t>
      </w:r>
    </w:p>
    <w:p>
      <w:pPr>
        <w:pStyle w:val="ListParagraph"/>
        <w:numPr>
          <w:ilvl w:val="0"/>
          <w:numId w:val="2"/>
        </w:numPr>
      </w:pPr>
      <w:hyperlink w:history="1" r:id="rIdpret_5n5-t-40t2rn4llh">
        <w:r>
          <w:rPr>
            <w:rStyle w:val="Hyperlink"/>
          </w:rPr>
          <w:t xml:space="preserve">MFT Node runtime</w:t>
        </w:r>
      </w:hyperlink>
      <w:r>
        <w:rPr>
          <w:color w:val="52606D"/>
          <w:sz w:val="18"/>
          <w:szCs w:val="18"/>
        </w:rPr>
        <w:t xml:space="preserve">: https://help.boomi.com/docs/Atomsphere/Integration/MFT/AutomatedFileTransfer/user-guide/mft-node-runtime/</w:t>
      </w:r>
    </w:p>
    <w:p>
      <w:pPr>
        <w:pStyle w:val="ListParagraph"/>
        <w:numPr>
          <w:ilvl w:val="0"/>
          <w:numId w:val="2"/>
        </w:numPr>
      </w:pPr>
      <w:hyperlink w:history="1" r:id="rIdibqtjjepxpr5vq5ppxgnz">
        <w:r>
          <w:rPr>
            <w:rStyle w:val="Hyperlink"/>
          </w:rPr>
          <w:t xml:space="preserve">File Sharing user guide</w:t>
        </w:r>
      </w:hyperlink>
      <w:r>
        <w:rPr>
          <w:color w:val="52606D"/>
          <w:sz w:val="18"/>
          <w:szCs w:val="18"/>
        </w:rPr>
        <w:t xml:space="preserve">: https://help.boomi.com/docs/Atomsphere/Integration/MFT/FileSharing/FileSharingUserGuide/file-sharing-user-guide</w:t>
      </w:r>
    </w:p>
    <w:p>
      <w:pPr>
        <w:pStyle w:val="ListParagraph"/>
        <w:numPr>
          <w:ilvl w:val="0"/>
          <w:numId w:val="2"/>
        </w:numPr>
      </w:pPr>
      <w:hyperlink w:history="1" r:id="rId3_uhiwqwtelxblfxrkg76">
        <w:r>
          <w:rPr>
            <w:rStyle w:val="Hyperlink"/>
          </w:rPr>
          <w:t xml:space="preserve">File Sharing administration guide</w:t>
        </w:r>
      </w:hyperlink>
      <w:r>
        <w:rPr>
          <w:color w:val="52606D"/>
          <w:sz w:val="18"/>
          <w:szCs w:val="18"/>
        </w:rPr>
        <w:t xml:space="preserve">: https://help.boomi.com/docs/Atomsphere/Integration/MFT/FileSharing/AdministrationGuide/administration-guide</w:t>
      </w:r>
    </w:p>
    <w:p>
      <w:pPr>
        <w:pStyle w:val="ListParagraph"/>
        <w:numPr>
          <w:ilvl w:val="0"/>
          <w:numId w:val="2"/>
        </w:numPr>
      </w:pPr>
      <w:hyperlink w:history="1" r:id="rIdhtgfpixznws73ukksjxs8">
        <w:r>
          <w:rPr>
            <w:rStyle w:val="Hyperlink"/>
          </w:rPr>
          <w:t xml:space="preserve">Boomi product roadmap, Q3 2026</w:t>
        </w:r>
      </w:hyperlink>
      <w:r>
        <w:rPr>
          <w:color w:val="52606D"/>
          <w:sz w:val="18"/>
          <w:szCs w:val="18"/>
        </w:rPr>
        <w:t xml:space="preserve">: https://boomi.com/ja/blog/boomi-product-roadmap-q3-2026-everything-you-want-to-know/</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2606D"/>
        <w:sz w:val="16"/>
        <w:szCs w:val="16"/>
      </w:rPr>
      <w:t xml:space="preserve">Page </w:t>
    </w:r>
    <w:r>
      <w:rPr>
        <w:color w:val="52606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2606D"/>
        <w:sz w:val="16"/>
        <w:szCs w:val="16"/>
      </w:rPr>
      <w:t xml:space="preserve">Boomi MFT Platform: Overview, AFT and FS | v0.1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pPr>
    <w:rPr>
      <w:b/>
      <w:bCs/>
      <w:color w:val="14304F"/>
      <w:sz w:val="40"/>
      <w:szCs w:val="40"/>
    </w:rPr>
  </w:style>
  <w:style w:type="paragraph" w:styleId="Heading1">
    <w:name w:val="Heading 1"/>
    <w:basedOn w:val="Normal"/>
    <w:next w:val="Normal"/>
    <w:qFormat/>
    <w:pPr>
      <w:spacing w:after="120" w:before="280"/>
      <w:outlineLvl w:val="0"/>
    </w:pPr>
    <w:rPr>
      <w:b/>
      <w:bCs/>
      <w:color w:val="1D4E89"/>
      <w:sz w:val="28"/>
      <w:szCs w:val="28"/>
    </w:rPr>
  </w:style>
  <w:style w:type="paragraph" w:styleId="Heading2">
    <w:name w:val="Heading 2"/>
    <w:basedOn w:val="Normal"/>
    <w:next w:val="Normal"/>
    <w:qFormat/>
    <w:pPr>
      <w:spacing w:after="100" w:before="200"/>
      <w:outlineLvl w:val="1"/>
    </w:pPr>
    <w:rPr>
      <w:b/>
      <w:bCs/>
      <w:color w:val="1F2933"/>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a9nqafedpca6to7m3fgh7" Type="http://schemas.openxmlformats.org/officeDocument/2006/relationships/hyperlink" Target="https://help.boomi.com/docs/Atomsphere/Integration/MFT/boomi_mft" TargetMode="External"/><Relationship Id="rIdlng8ih_cyum4capczg7zu" Type="http://schemas.openxmlformats.org/officeDocument/2006/relationships/hyperlink" Target="https://help.boomi.com/docs/Atomsphere/Integration/MFT/AutomatedFileTransfer/aft" TargetMode="External"/><Relationship Id="rIdl8hmjbl2xxda1wduy17g3" Type="http://schemas.openxmlformats.org/officeDocument/2006/relationships/hyperlink" Target="https://help.boomi.com/docs/Atomsphere/Integration/MFT/AutomatedFileTransfer/user-guide/organizations/endpoint-types/" TargetMode="External"/><Relationship Id="rId3dgtbgpokenfxtffpqkz0" Type="http://schemas.openxmlformats.org/officeDocument/2006/relationships/hyperlink" Target="https://help.boomi.com/docs/Atomsphere/Integration/MFT/AutomatedFileTransfer/user-guide/organizations/mftnodes/" TargetMode="External"/><Relationship Id="rIdpret_5n5-t-40t2rn4llh" Type="http://schemas.openxmlformats.org/officeDocument/2006/relationships/hyperlink" Target="https://help.boomi.com/docs/Atomsphere/Integration/MFT/AutomatedFileTransfer/user-guide/mft-node-runtime/" TargetMode="External"/><Relationship Id="rIdibqtjjepxpr5vq5ppxgnz" Type="http://schemas.openxmlformats.org/officeDocument/2006/relationships/hyperlink" Target="https://help.boomi.com/docs/Atomsphere/Integration/MFT/FileSharing/FileSharingUserGuide/file-sharing-user-guide" TargetMode="External"/><Relationship Id="rId3_uhiwqwtelxblfxrkg76" Type="http://schemas.openxmlformats.org/officeDocument/2006/relationships/hyperlink" Target="https://help.boomi.com/docs/Atomsphere/Integration/MFT/FileSharing/AdministrationGuide/administration-guide" TargetMode="External"/><Relationship Id="rIdhtgfpixznws73ukksjxs8" Type="http://schemas.openxmlformats.org/officeDocument/2006/relationships/hyperlink" Target="https://boomi.com/ja/blog/boomi-product-roadmap-q3-2026-everything-you-want-to-know/" TargetMode="External"/><Relationship Id="rId9" Type="http://schemas.openxmlformats.org/officeDocument/2006/relationships/image" Target="media/7ad930d2eae37ccfb46d3e2ff331d54c45b31f2a.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Boomi MFT Platform: Overview, AFT and FS</dc:title>
  <dc:creator>Integration Architect</dc:creator>
  <cp:lastModifiedBy>Un-named</cp:lastModifiedBy>
  <cp:revision>1</cp:revision>
  <dcterms:created xsi:type="dcterms:W3CDTF">2026-10-22T10:33:46.821Z</dcterms:created>
  <dcterms:modified xsi:type="dcterms:W3CDTF">2026-10-22T10:33:46.821Z</dcterms:modified>
</cp:coreProperties>
</file>

<file path=docProps/custom.xml><?xml version="1.0" encoding="utf-8"?>
<Properties xmlns="http://schemas.openxmlformats.org/officeDocument/2006/custom-properties" xmlns:vt="http://schemas.openxmlformats.org/officeDocument/2006/docPropsVTypes"/>
</file>