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b/>
          <w:bCs/>
          <w:color w:val="505A5F"/>
          <w:sz w:val="20"/>
          <w:szCs w:val="20"/>
        </w:rPr>
        <w:t xml:space="preserve">OFFICIAL</w:t>
      </w:r>
    </w:p>
    <w:p>
      <w:pPr>
        <w:spacing w:before="200"/>
      </w:pPr>
      <w:r>
        <w:rPr>
          <w:b/>
          <w:bCs/>
          <w:sz w:val="56"/>
          <w:szCs w:val="56"/>
        </w:rPr>
        <w:t xml:space="preserve">Managed File Transfer on Boomi</w:t>
      </w:r>
    </w:p>
    <w:p>
      <w:pPr>
        <w:spacing w:after="80"/>
      </w:pPr>
      <w:r>
        <w:rPr>
          <w:color w:val="505A5F"/>
          <w:sz w:val="34"/>
          <w:szCs w:val="34"/>
        </w:rPr>
        <w:t xml:space="preserve">Minimum Viable Product Definition</w:t>
      </w:r>
    </w:p>
    <w:p>
      <w:pPr>
        <w:spacing w:after="500"/>
      </w:pPr>
      <w:r>
        <w:rPr>
          <w:b/>
          <w:bCs/>
          <w:color w:val="1D70B8"/>
          <w:sz w:val="26"/>
          <w:szCs w:val="26"/>
        </w:rPr>
        <w:t xml:space="preserve">MVP Candidate: ADR.040 Migrant Workers Scan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6"/>
        <w:gridCol w:w="7330"/>
      </w:tblGrid>
      <w:tr>
        <w:trPr>
          <w:tblHeader/>
        </w:trPr>
        <w:tc>
          <w:tcPr>
            <w:tcW w:type="dxa" w:w="2576"/>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Field</w:t>
            </w:r>
          </w:p>
        </w:tc>
        <w:tc>
          <w:tcPr>
            <w:tcW w:type="dxa" w:w="7330"/>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Detail</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Document</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Managed File Transfer on Boomi, Minimum Viable Product Definition</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Version</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v0.1</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Status</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Draft for Design Authority review</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Date</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8 September 2026</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Owner</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Integration Architecture</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Programme</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Integration Catalogue Programme</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Classification</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OFFICIAL</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Purpose</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Defines the objective, candidate, steps, dependencies and success criteria for the Boomi Managed File Transfer minimum viable product, and the basis on which a go or no-go recommendation will be made.</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Companion artefacts</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MVP tracker workbook, flow diagrams (draw.io), and the published web version of this document.</w:t>
            </w:r>
          </w:p>
        </w:tc>
      </w:tr>
    </w:tbl>
    <w:p>
      <w:r>
        <w:br w:type="page"/>
      </w:r>
    </w:p>
    <w:p>
      <w:pPr>
        <w:pStyle w:val="Heading1"/>
        <w:spacing w:after="2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60"/>
      </w:pPr>
      <w:r>
        <w:t xml:space="preserve">1. Objective</w:t>
      </w:r>
    </w:p>
    <w:p>
      <w:pPr>
        <w:spacing w:after="140"/>
        <w:jc w:val="left"/>
      </w:pPr>
      <w:r>
        <w:rPr>
          <w:sz w:val="21"/>
          <w:szCs w:val="21"/>
        </w:rPr>
        <w:t xml:space="preserve">The objective of this MVP is to prove, on live infrastructure and with a real production feed, that Boomi MFT can carry a scheduled file transfer end to end across both of the trust boundaries the platform will be asked to serve, and to do so as a configuration change rather than as a new build. Everything in this document exists to test that single proposition.</w:t>
      </w:r>
    </w:p>
    <w:p>
      <w:pPr>
        <w:spacing w:after="140"/>
        <w:jc w:val="left"/>
      </w:pPr>
      <w:r>
        <w:rPr>
          <w:sz w:val="21"/>
          <w:szCs w:val="21"/>
        </w:rPr>
        <w:t xml:space="preserve">The MVP is deliberately narrow. It is not a pilot of the target operating model, not a migration of the incumbent estate, and not a self-service portal release. It is the smallest piece of work that produces a defensible answer to five questions:</w:t>
      </w:r>
    </w:p>
    <w:p>
      <w:pPr>
        <w:pStyle w:val="ListParagraph"/>
        <w:numPr>
          <w:ilvl w:val="0"/>
          <w:numId w:val="2"/>
        </w:numPr>
        <w:spacing w:after="70"/>
      </w:pPr>
      <w:r>
        <w:rPr>
          <w:sz w:val="21"/>
          <w:szCs w:val="21"/>
        </w:rPr>
        <w:t xml:space="preserve">Can Boomi MFT move a file internal to internal, from a source system landing area into a data warehouse preparation zone, without a bespoke Boomi component per interface?</w:t>
      </w:r>
    </w:p>
    <w:p>
      <w:pPr>
        <w:pStyle w:val="ListParagraph"/>
        <w:numPr>
          <w:ilvl w:val="0"/>
          <w:numId w:val="2"/>
        </w:numPr>
        <w:spacing w:after="70"/>
      </w:pPr>
      <w:r>
        <w:rPr>
          <w:sz w:val="21"/>
          <w:szCs w:val="21"/>
        </w:rPr>
        <w:t xml:space="preserve">Can the same platform, using the same generic engine and a second configuration row, move a file internal to external to an other government department endpoint?</w:t>
      </w:r>
    </w:p>
    <w:p>
      <w:pPr>
        <w:pStyle w:val="ListParagraph"/>
        <w:numPr>
          <w:ilvl w:val="0"/>
          <w:numId w:val="2"/>
        </w:numPr>
        <w:spacing w:after="70"/>
      </w:pPr>
      <w:r>
        <w:rPr>
          <w:sz w:val="21"/>
          <w:szCs w:val="21"/>
        </w:rPr>
        <w:t xml:space="preserve">Does the platform satisfy the security, credential and scanning controls that apply to an OFFICIAL feed containing personal data, without exception or waiver?</w:t>
      </w:r>
    </w:p>
    <w:p>
      <w:pPr>
        <w:pStyle w:val="ListParagraph"/>
        <w:numPr>
          <w:ilvl w:val="0"/>
          <w:numId w:val="2"/>
        </w:numPr>
        <w:spacing w:after="70"/>
      </w:pPr>
      <w:r>
        <w:rPr>
          <w:sz w:val="21"/>
          <w:szCs w:val="21"/>
        </w:rPr>
        <w:t xml:space="preserve">Is the operational evidence, audit trail, alerting and reconciliation good enough that Service Operations will accept the flow into support?</w:t>
      </w:r>
    </w:p>
    <w:p>
      <w:pPr>
        <w:pStyle w:val="ListParagraph"/>
        <w:numPr>
          <w:ilvl w:val="0"/>
          <w:numId w:val="2"/>
        </w:numPr>
        <w:spacing w:after="70"/>
      </w:pPr>
      <w:r>
        <w:rPr>
          <w:sz w:val="21"/>
          <w:szCs w:val="21"/>
        </w:rPr>
        <w:t xml:space="preserve">What does the effort curve actually look like, so that the onboarding estimate used in the wider business case is grounded in measured effort rather than assumption?</w:t>
      </w:r>
    </w:p>
    <w:p>
      <w:pPr>
        <w:pBdr>
          <w:left w:val="single" w:color="1D70B8" w:sz="18"/>
        </w:pBdr>
        <w:shd w:fill="F0F6FB" w:color="auto" w:val="clear"/>
        <w:spacing w:after="200" w:before="160"/>
        <w:ind w:left="180"/>
      </w:pPr>
      <w:r>
        <w:rPr>
          <w:i/>
          <w:iCs/>
          <w:sz w:val="21"/>
          <w:szCs w:val="21"/>
        </w:rPr>
        <w:t xml:space="preserve">Success is a decision, not a demo. The MVP concludes with a go, go-with-conditions, or no-go recommendation supported by an evidence pack that a Design Authority can audit.</w:t>
      </w:r>
    </w:p>
    <w:p>
      <w:pPr>
        <w:pStyle w:val="Heading1"/>
        <w:spacing w:after="140" w:before="360"/>
      </w:pPr>
      <w:r>
        <w:t xml:space="preserve">2. MVP candidate</w:t>
      </w:r>
    </w:p>
    <w:p>
      <w:pPr>
        <w:spacing w:after="140"/>
        <w:jc w:val="left"/>
      </w:pPr>
      <w:r>
        <w:rPr>
          <w:sz w:val="21"/>
          <w:szCs w:val="21"/>
        </w:rPr>
        <w:t xml:space="preserve">The selected candidate is feed ADR.040, the quarterly Migrant Workers Scan extract, which flows from NPS into the ADR data preparation zone and onward to the Office for National Statistics. The candidate is unusual and valuable because a single business feed contains both of the transfer patterns the platform must prove, using one dataset, one owner community and one test cycle.</w:t>
      </w:r>
    </w:p>
    <w:p>
      <w:pPr>
        <w:pStyle w:val="Heading2"/>
        <w:spacing w:after="100" w:before="240"/>
      </w:pPr>
      <w:r>
        <w:t xml:space="preserve">2.1 Candidate reference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2"/>
        <w:gridCol w:w="6934"/>
      </w:tblGrid>
      <w:tr>
        <w:trPr>
          <w:tblHeader/>
        </w:trPr>
        <w:tc>
          <w:tcPr>
            <w:tcW w:type="dxa" w:w="2972"/>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Attribute</w:t>
            </w:r>
          </w:p>
        </w:tc>
        <w:tc>
          <w:tcPr>
            <w:tcW w:type="dxa" w:w="6934"/>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Value</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Warehouse</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ADR</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Feed reference</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ADR.040</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Feed name</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Inbound Migrant Workers, inbound (NPS to ADR)</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Business description</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Migrant Workers Scan extract, sourced from the upstream supplier and delivered to ADR for preparation, then published to ONS</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 system</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NPS</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 protocol today</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UTM transfer (as-is)</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Destination, leg A</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ADR NPS file landing area</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Destination, leg B</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ONS, via Insecure IF server and SDES today</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Average volume</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1 file per cycle</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Frequency</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Quarterly, triggered on the first day of January, April, July and October</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File name pattern</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Migrant Worker Scan data (exact mask to be confirmed, DEP-03)</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Data classification</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OFFICIAL, assumed OFFICIAL personal data pending confirmation (D-MVP-01)</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Feed classification note</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Treated as a discrete feed under the warehouse feed definition; the underlying movement is the Migrant Workers Scan to ADR</w:t>
            </w:r>
          </w:p>
        </w:tc>
      </w:tr>
    </w:tbl>
    <w:p>
      <w:pPr>
        <w:spacing w:after="160"/>
      </w:pPr>
    </w:p>
    <w:p>
      <w:pPr>
        <w:pStyle w:val="Heading2"/>
        <w:spacing w:after="100" w:before="240"/>
      </w:pPr>
      <w:r>
        <w:t xml:space="preserve">2.2 The two opportunities within one candidate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
        <w:gridCol w:w="1585"/>
        <w:gridCol w:w="2576"/>
        <w:gridCol w:w="1585"/>
        <w:gridCol w:w="3368"/>
      </w:tblGrid>
      <w:tr>
        <w:trPr>
          <w:tblHeader/>
        </w:trPr>
        <w:tc>
          <w:tcPr>
            <w:tcW w:type="dxa" w:w="792"/>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Leg</w:t>
            </w:r>
          </w:p>
        </w:tc>
        <w:tc>
          <w:tcPr>
            <w:tcW w:type="dxa" w:w="158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Pattern</w:t>
            </w:r>
          </w:p>
        </w:tc>
        <w:tc>
          <w:tcPr>
            <w:tcW w:type="dxa" w:w="2576"/>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Movement</w:t>
            </w:r>
          </w:p>
        </w:tc>
        <w:tc>
          <w:tcPr>
            <w:tcW w:type="dxa" w:w="158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Incumbent</w:t>
            </w:r>
          </w:p>
        </w:tc>
        <w:tc>
          <w:tcPr>
            <w:tcW w:type="dxa" w:w="3368"/>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What it proves</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Internal to internal</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NPS source extract into the ADR data preparation zone landing area</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UTM</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Boomi MFT operating wholly inside the trust boundary: runtime placement, internal endpoint reachability, scheduling, credential sourcing and handover into the existing Maestro job chain</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B</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Internal to external</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ADR MWS file output area to the ONS receiving endpoint</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IF server and SDES</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Boomi MFT crossing the trust boundary to an other government department: egress control, inbound and outbound firewall change, allow-listing, transport security, non-repudiation and the removal of an insecure hop</w:t>
            </w:r>
          </w:p>
        </w:tc>
      </w:tr>
    </w:tbl>
    <w:p>
      <w:pPr>
        <w:spacing w:after="160"/>
      </w:pPr>
    </w:p>
    <w:p>
      <w:pPr>
        <w:pStyle w:val="Heading2"/>
        <w:spacing w:after="100" w:before="240"/>
      </w:pPr>
      <w:r>
        <w:t xml:space="preserve">2.3 Why this candidate was selected</w:t>
      </w:r>
    </w:p>
    <w:p>
      <w:pPr>
        <w:pStyle w:val="ListParagraph"/>
        <w:numPr>
          <w:ilvl w:val="0"/>
          <w:numId w:val="3"/>
        </w:numPr>
        <w:spacing w:after="70"/>
      </w:pPr>
      <w:r>
        <w:rPr>
          <w:sz w:val="21"/>
          <w:szCs w:val="21"/>
        </w:rPr>
        <w:t xml:space="preserve">It is genuinely dual-pattern. One onboarding exercise yields evidence for both the internal and the cross-boundary case, which halves the calendar cost of proving the platform.</w:t>
      </w:r>
    </w:p>
    <w:p>
      <w:pPr>
        <w:pStyle w:val="ListParagraph"/>
        <w:numPr>
          <w:ilvl w:val="0"/>
          <w:numId w:val="3"/>
        </w:numPr>
        <w:spacing w:after="70"/>
      </w:pPr>
      <w:r>
        <w:rPr>
          <w:sz w:val="21"/>
          <w:szCs w:val="21"/>
        </w:rPr>
        <w:t xml:space="preserve">The volume is trivially small. One file per quarter means the MVP tests correctness, control and operability rather than throughput, which is the right thing to test first.</w:t>
      </w:r>
    </w:p>
    <w:p>
      <w:pPr>
        <w:pStyle w:val="ListParagraph"/>
        <w:numPr>
          <w:ilvl w:val="0"/>
          <w:numId w:val="3"/>
        </w:numPr>
        <w:spacing w:after="70"/>
      </w:pPr>
      <w:r>
        <w:rPr>
          <w:sz w:val="21"/>
          <w:szCs w:val="21"/>
        </w:rPr>
        <w:t xml:space="preserve">The current leg B path traverses an Insecure IF server. Retiring that hop is a security improvement that gives the MVP a business benefit independent of the platform decision, which strengthens the case for funding the run.</w:t>
      </w:r>
    </w:p>
    <w:p>
      <w:pPr>
        <w:pStyle w:val="ListParagraph"/>
        <w:numPr>
          <w:ilvl w:val="0"/>
          <w:numId w:val="3"/>
        </w:numPr>
        <w:spacing w:after="70"/>
      </w:pPr>
      <w:r>
        <w:rPr>
          <w:sz w:val="21"/>
          <w:szCs w:val="21"/>
        </w:rPr>
        <w:t xml:space="preserve">Both endpoints are already known and already in production, so the MVP is not gated on a new system going live.</w:t>
      </w:r>
    </w:p>
    <w:p>
      <w:pPr>
        <w:pStyle w:val="ListParagraph"/>
        <w:numPr>
          <w:ilvl w:val="0"/>
          <w:numId w:val="3"/>
        </w:numPr>
        <w:spacing w:after="70"/>
      </w:pPr>
      <w:r>
        <w:rPr>
          <w:sz w:val="21"/>
          <w:szCs w:val="21"/>
        </w:rPr>
        <w:t xml:space="preserve">The quarterly cadence means a failed cutover has a long, forgiving recovery window rather than a same-day incident.</w:t>
      </w:r>
    </w:p>
    <w:p>
      <w:pPr>
        <w:pStyle w:val="Heading2"/>
        <w:spacing w:after="100" w:before="240"/>
      </w:pPr>
      <w:r>
        <w:t xml:space="preserve">2.4 The candidate's principal weakness, stated plainly</w:t>
      </w:r>
    </w:p>
    <w:p>
      <w:pPr>
        <w:spacing w:after="140"/>
        <w:jc w:val="left"/>
      </w:pPr>
      <w:r>
        <w:rPr>
          <w:sz w:val="21"/>
          <w:szCs w:val="21"/>
        </w:rPr>
        <w:t xml:space="preserve">A quarterly feed produces four natural test opportunities a year. Waiting for organic runs would stretch the MVP across two quarters and make the evidence base thin. The MVP therefore uses controlled replay of representative files as its primary proving mechanism, and reserves the natural cycle for a single parallel run. This is called out here so that no reviewer mistakes replay evidence for production-cycle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2"/>
        <w:gridCol w:w="6934"/>
      </w:tblGrid>
      <w:tr>
        <w:trPr>
          <w:tblHeader/>
        </w:trPr>
        <w:tc>
          <w:tcPr>
            <w:tcW w:type="dxa" w:w="2972"/>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Natural cycle date</w:t>
            </w:r>
          </w:p>
        </w:tc>
        <w:tc>
          <w:tcPr>
            <w:tcW w:type="dxa" w:w="6934"/>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Use in the MVP</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1 October 2026</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Too early. Firewall change lead time and endpoint agreement with ONS will not have completed. Observe the incumbent run and capture baseline timings and file characteristics only.</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1 January 2027</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Parallel run. Boomi MFT executes both legs alongside the incumbent path. Outputs reconciled byte for byte. No production dependency on the Boomi path.</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1 April 2027</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Target first production cycle on Boomi MFT for both legs, subject to the go decision at the end of the parallel run.</w:t>
            </w:r>
          </w:p>
        </w:tc>
      </w:tr>
    </w:tbl>
    <w:p>
      <w:pPr>
        <w:spacing w:after="160"/>
      </w:pPr>
    </w:p>
    <w:p>
      <w:pPr>
        <w:pStyle w:val="Heading1"/>
        <w:spacing w:after="140" w:before="360"/>
      </w:pPr>
      <w:r>
        <w:t xml:space="preserve">3. Scope</w:t>
      </w:r>
    </w:p>
    <w:p>
      <w:pPr>
        <w:pStyle w:val="Heading2"/>
        <w:spacing w:after="100" w:before="240"/>
      </w:pPr>
      <w:r>
        <w:t xml:space="preserve">3.1 In scope</w:t>
      </w:r>
    </w:p>
    <w:p>
      <w:pPr>
        <w:pStyle w:val="ListParagraph"/>
        <w:numPr>
          <w:ilvl w:val="0"/>
          <w:numId w:val="4"/>
        </w:numPr>
        <w:spacing w:after="70"/>
      </w:pPr>
      <w:r>
        <w:rPr>
          <w:sz w:val="21"/>
          <w:szCs w:val="21"/>
        </w:rPr>
        <w:t xml:space="preserve">Two MFT flows, one per leg, delivered as configuration rows consumed by the generic engine process. No bespoke Boomi component may be created for either leg.</w:t>
      </w:r>
    </w:p>
    <w:p>
      <w:pPr>
        <w:pStyle w:val="ListParagraph"/>
        <w:numPr>
          <w:ilvl w:val="0"/>
          <w:numId w:val="4"/>
        </w:numPr>
        <w:spacing w:after="70"/>
      </w:pPr>
      <w:r>
        <w:rPr>
          <w:sz w:val="21"/>
          <w:szCs w:val="21"/>
        </w:rPr>
        <w:t xml:space="preserve">Runtime placement and connectivity for an internal source endpoint and an external destination endpoint.</w:t>
      </w:r>
    </w:p>
    <w:p>
      <w:pPr>
        <w:pStyle w:val="ListParagraph"/>
        <w:numPr>
          <w:ilvl w:val="0"/>
          <w:numId w:val="4"/>
        </w:numPr>
        <w:spacing w:after="70"/>
      </w:pPr>
      <w:r>
        <w:rPr>
          <w:sz w:val="21"/>
          <w:szCs w:val="21"/>
        </w:rPr>
        <w:t xml:space="preserve">Scheduling equivalent to the current quarterly trigger, including the check for file, wait and retry behaviour currently performed by Maestro job 1.</w:t>
      </w:r>
    </w:p>
    <w:p>
      <w:pPr>
        <w:pStyle w:val="ListParagraph"/>
        <w:numPr>
          <w:ilvl w:val="0"/>
          <w:numId w:val="4"/>
        </w:numPr>
        <w:spacing w:after="70"/>
      </w:pPr>
      <w:r>
        <w:rPr>
          <w:sz w:val="21"/>
          <w:szCs w:val="21"/>
        </w:rPr>
        <w:t xml:space="preserve">Credential sourcing for both legs, including the attempt to source from the enterprise secrets store and the documented outcome if that is not possible.</w:t>
      </w:r>
    </w:p>
    <w:p>
      <w:pPr>
        <w:pStyle w:val="ListParagraph"/>
        <w:numPr>
          <w:ilvl w:val="0"/>
          <w:numId w:val="4"/>
        </w:numPr>
        <w:spacing w:after="70"/>
      </w:pPr>
      <w:r>
        <w:rPr>
          <w:sz w:val="21"/>
          <w:szCs w:val="21"/>
        </w:rPr>
        <w:t xml:space="preserve">Anti-virus scanning of the file in transit and the behaviour when a scan fails or the file exceeds the scan ceiling.</w:t>
      </w:r>
    </w:p>
    <w:p>
      <w:pPr>
        <w:pStyle w:val="ListParagraph"/>
        <w:numPr>
          <w:ilvl w:val="0"/>
          <w:numId w:val="4"/>
        </w:numPr>
        <w:spacing w:after="70"/>
      </w:pPr>
      <w:r>
        <w:rPr>
          <w:sz w:val="21"/>
          <w:szCs w:val="21"/>
        </w:rPr>
        <w:t xml:space="preserve">Error handling, quarantine, archive and retention behaviour.</w:t>
      </w:r>
    </w:p>
    <w:p>
      <w:pPr>
        <w:pStyle w:val="ListParagraph"/>
        <w:numPr>
          <w:ilvl w:val="0"/>
          <w:numId w:val="4"/>
        </w:numPr>
        <w:spacing w:after="70"/>
      </w:pPr>
      <w:r>
        <w:rPr>
          <w:sz w:val="21"/>
          <w:szCs w:val="21"/>
        </w:rPr>
        <w:t xml:space="preserve">Audit trail, transfer logging, alerting and the operational handover pack.</w:t>
      </w:r>
    </w:p>
    <w:p>
      <w:pPr>
        <w:pStyle w:val="ListParagraph"/>
        <w:numPr>
          <w:ilvl w:val="0"/>
          <w:numId w:val="4"/>
        </w:numPr>
        <w:spacing w:after="70"/>
      </w:pPr>
      <w:r>
        <w:rPr>
          <w:sz w:val="21"/>
          <w:szCs w:val="21"/>
        </w:rPr>
        <w:t xml:space="preserve">A measured effort record for every onboarding activity, used to calibrate the wider onboarding estimate.</w:t>
      </w:r>
    </w:p>
    <w:p>
      <w:pPr>
        <w:pStyle w:val="Heading2"/>
        <w:spacing w:after="100" w:before="240"/>
      </w:pPr>
      <w:r>
        <w:t xml:space="preserve">3.2 Out of scope</w:t>
      </w:r>
    </w:p>
    <w:p>
      <w:pPr>
        <w:pStyle w:val="ListParagraph"/>
        <w:numPr>
          <w:ilvl w:val="0"/>
          <w:numId w:val="5"/>
        </w:numPr>
        <w:spacing w:after="70"/>
      </w:pPr>
      <w:r>
        <w:rPr>
          <w:sz w:val="21"/>
          <w:szCs w:val="21"/>
        </w:rPr>
        <w:t xml:space="preserve">Any change to the Maestro job chain that stages and extracts the data inside ADR. Boomi MFT delivers into and collects from the existing file areas; the internal processing is untouched.</w:t>
      </w:r>
    </w:p>
    <w:p>
      <w:pPr>
        <w:pStyle w:val="ListParagraph"/>
        <w:numPr>
          <w:ilvl w:val="0"/>
          <w:numId w:val="5"/>
        </w:numPr>
        <w:spacing w:after="70"/>
      </w:pPr>
      <w:r>
        <w:rPr>
          <w:sz w:val="21"/>
          <w:szCs w:val="21"/>
        </w:rPr>
        <w:t xml:space="preserve">Any change to the content, schema or business meaning of the file.</w:t>
      </w:r>
    </w:p>
    <w:p>
      <w:pPr>
        <w:pStyle w:val="ListParagraph"/>
        <w:numPr>
          <w:ilvl w:val="0"/>
          <w:numId w:val="5"/>
        </w:numPr>
        <w:spacing w:after="70"/>
      </w:pPr>
      <w:r>
        <w:rPr>
          <w:sz w:val="21"/>
          <w:szCs w:val="21"/>
        </w:rPr>
        <w:t xml:space="preserve">Self-service request, approval or provisioning through the portal. The MVP is configured by the platform team.</w:t>
      </w:r>
    </w:p>
    <w:p>
      <w:pPr>
        <w:pStyle w:val="ListParagraph"/>
        <w:numPr>
          <w:ilvl w:val="0"/>
          <w:numId w:val="5"/>
        </w:numPr>
        <w:spacing w:after="70"/>
      </w:pPr>
      <w:r>
        <w:rPr>
          <w:sz w:val="21"/>
          <w:szCs w:val="21"/>
        </w:rPr>
        <w:t xml:space="preserve">CI/CD promotion of configuration rows between environments. This is a known platform gap and is handled manually and evidenced, not solved (G-13).</w:t>
      </w:r>
    </w:p>
    <w:p>
      <w:pPr>
        <w:pStyle w:val="ListParagraph"/>
        <w:numPr>
          <w:ilvl w:val="0"/>
          <w:numId w:val="5"/>
        </w:numPr>
        <w:spacing w:after="70"/>
      </w:pPr>
      <w:r>
        <w:rPr>
          <w:sz w:val="21"/>
          <w:szCs w:val="21"/>
        </w:rPr>
        <w:t xml:space="preserve">Decommissioning of UTM, the IF server or SDES. The MVP proves the alternative; decommissioning is a separate decision with separate stakeholders.</w:t>
      </w:r>
    </w:p>
    <w:p>
      <w:pPr>
        <w:pStyle w:val="ListParagraph"/>
        <w:numPr>
          <w:ilvl w:val="0"/>
          <w:numId w:val="5"/>
        </w:numPr>
        <w:spacing w:after="70"/>
      </w:pPr>
      <w:r>
        <w:rPr>
          <w:sz w:val="21"/>
          <w:szCs w:val="21"/>
        </w:rPr>
        <w:t xml:space="preserve">Any other feed in the ADR warehouse or any other warehouse.</w:t>
      </w:r>
    </w:p>
    <w:p>
      <w:pPr>
        <w:pStyle w:val="ListParagraph"/>
        <w:numPr>
          <w:ilvl w:val="0"/>
          <w:numId w:val="5"/>
        </w:numPr>
        <w:spacing w:after="70"/>
      </w:pPr>
      <w:r>
        <w:rPr>
          <w:sz w:val="21"/>
          <w:szCs w:val="21"/>
        </w:rPr>
        <w:t xml:space="preserve">Throughput, large file and high frequency testing.</w:t>
      </w:r>
    </w:p>
    <w:p>
      <w:pPr>
        <w:pStyle w:val="Heading2"/>
        <w:spacing w:after="100" w:before="240"/>
      </w:pPr>
      <w:r>
        <w:t xml:space="preserve">3.3 Explicit non-goals</w:t>
      </w:r>
    </w:p>
    <w:p>
      <w:pPr>
        <w:spacing w:after="140"/>
        <w:jc w:val="left"/>
      </w:pPr>
      <w:r>
        <w:rPr>
          <w:sz w:val="21"/>
          <w:szCs w:val="21"/>
        </w:rPr>
        <w:t xml:space="preserve">The MVP does not attempt to demonstrate that Boomi MFT is cheaper than the incumbent, does not attempt to establish the target operating model, and does not attempt to prove the platform at scale. Claims of that kind made on the back of this MVP would not be supportable by its evidence.</w:t>
      </w:r>
    </w:p>
    <w:p>
      <w:pPr>
        <w:pStyle w:val="Heading1"/>
        <w:spacing w:after="140" w:before="360"/>
      </w:pPr>
      <w:r>
        <w:t xml:space="preserve">4. Current state</w:t>
      </w:r>
    </w:p>
    <w:p>
      <w:pPr>
        <w:spacing w:after="140"/>
        <w:jc w:val="left"/>
      </w:pPr>
      <w:r>
        <w:rPr>
          <w:sz w:val="21"/>
          <w:szCs w:val="21"/>
        </w:rPr>
        <w:t xml:space="preserve">The as-is path is a chain of scheduled Maestro jobs operating over shared file areas inside ADR, bracketed by a UTM transfer on the way in and an Insecure IF server and SDES on the way out.</w:t>
      </w:r>
    </w:p>
    <w:p>
      <w:pPr>
        <w:pStyle w:val="ListParagraph"/>
        <w:numPr>
          <w:ilvl w:val="0"/>
          <w:numId w:val="6"/>
        </w:numPr>
        <w:spacing w:after="70"/>
      </w:pPr>
      <w:r>
        <w:rPr>
          <w:sz w:val="21"/>
          <w:szCs w:val="21"/>
        </w:rPr>
        <w:t xml:space="preserve">The upstream supplier produces a flat file from the migrant data store.</w:t>
      </w:r>
    </w:p>
    <w:p>
      <w:pPr>
        <w:pStyle w:val="ListParagraph"/>
        <w:numPr>
          <w:ilvl w:val="0"/>
          <w:numId w:val="6"/>
        </w:numPr>
        <w:spacing w:after="70"/>
      </w:pPr>
      <w:r>
        <w:rPr>
          <w:sz w:val="21"/>
          <w:szCs w:val="21"/>
        </w:rPr>
        <w:t xml:space="preserve">UTM transfers the flat file into the NPS file landing area inside ADR.</w:t>
      </w:r>
    </w:p>
    <w:p>
      <w:pPr>
        <w:pStyle w:val="ListParagraph"/>
        <w:numPr>
          <w:ilvl w:val="0"/>
          <w:numId w:val="6"/>
        </w:numPr>
        <w:spacing w:after="70"/>
      </w:pPr>
      <w:r>
        <w:rPr>
          <w:sz w:val="21"/>
          <w:szCs w:val="21"/>
        </w:rPr>
        <w:t xml:space="preserve">Maestro job 1 becomes active on the first day of each quarter and polls the landing area for the expected file. If the file has not arrived the job re-checks on its schedule.</w:t>
      </w:r>
    </w:p>
    <w:p>
      <w:pPr>
        <w:pStyle w:val="ListParagraph"/>
        <w:numPr>
          <w:ilvl w:val="0"/>
          <w:numId w:val="6"/>
        </w:numPr>
        <w:spacing w:after="70"/>
      </w:pPr>
      <w:r>
        <w:rPr>
          <w:sz w:val="21"/>
          <w:szCs w:val="21"/>
        </w:rPr>
        <w:t xml:space="preserve">On arrival, Maestro job 2 moves the file out of the landing area.</w:t>
      </w:r>
    </w:p>
    <w:p>
      <w:pPr>
        <w:pStyle w:val="ListParagraph"/>
        <w:numPr>
          <w:ilvl w:val="0"/>
          <w:numId w:val="6"/>
        </w:numPr>
        <w:spacing w:after="70"/>
      </w:pPr>
      <w:r>
        <w:rPr>
          <w:sz w:val="21"/>
          <w:szCs w:val="21"/>
        </w:rPr>
        <w:t xml:space="preserve">Maestro job 3 stages the data into the MWS database staging area.</w:t>
      </w:r>
    </w:p>
    <w:p>
      <w:pPr>
        <w:pStyle w:val="ListParagraph"/>
        <w:numPr>
          <w:ilvl w:val="0"/>
          <w:numId w:val="6"/>
        </w:numPr>
        <w:spacing w:after="70"/>
      </w:pPr>
      <w:r>
        <w:rPr>
          <w:sz w:val="21"/>
          <w:szCs w:val="21"/>
        </w:rPr>
        <w:t xml:space="preserve">Maestro job 4 extracts the staged data back out into files in the MWS file output area.</w:t>
      </w:r>
    </w:p>
    <w:p>
      <w:pPr>
        <w:pStyle w:val="ListParagraph"/>
        <w:numPr>
          <w:ilvl w:val="0"/>
          <w:numId w:val="6"/>
        </w:numPr>
        <w:spacing w:after="70"/>
      </w:pPr>
      <w:r>
        <w:rPr>
          <w:sz w:val="21"/>
          <w:szCs w:val="21"/>
        </w:rPr>
        <w:t xml:space="preserve">Maestro job 5 transfers the output files to the target server, traversing an Insecure IF server and then SDES to reach ONS.</w:t>
      </w:r>
    </w:p>
    <w:p>
      <w:pPr>
        <w:spacing w:after="60" w:before="200"/>
        <w:jc w:val="center"/>
      </w:pPr>
      <w:r>
        <w:drawing>
          <wp:inline distT="0" distB="0" distL="0" distR="0">
            <wp:extent cx="6286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1590675"/>
                    </a:xfrm>
                    <a:prstGeom prst="rect">
                      <a:avLst/>
                    </a:prstGeom>
                  </pic:spPr>
                </pic:pic>
              </a:graphicData>
            </a:graphic>
          </wp:inline>
        </w:drawing>
      </w:r>
    </w:p>
    <w:p>
      <w:pPr>
        <w:spacing w:after="200"/>
        <w:jc w:val="center"/>
      </w:pPr>
      <w:r>
        <w:rPr>
          <w:i/>
          <w:iCs/>
          <w:color w:val="505A5F"/>
          <w:sz w:val="17"/>
          <w:szCs w:val="17"/>
        </w:rPr>
        <w:t xml:space="preserve">Figure 1. Current state. The quarterly Maestro job chain, bracketed by UTM inbound and an insecure IF server hop outbound.</w:t>
      </w:r>
    </w:p>
    <w:p>
      <w:pPr>
        <w:pStyle w:val="Heading2"/>
        <w:spacing w:after="100" w:before="240"/>
      </w:pPr>
      <w:r>
        <w:t xml:space="preserve">4.1 Weaknesses in the current state that the MVP should address or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755"/>
        <w:gridCol w:w="4160"/>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Ref</w:t>
            </w:r>
          </w:p>
        </w:tc>
        <w:tc>
          <w:tcPr>
            <w:tcW w:type="dxa" w:w="475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Observation</w:t>
            </w:r>
          </w:p>
        </w:tc>
        <w:tc>
          <w:tcPr>
            <w:tcW w:type="dxa" w:w="4160"/>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MVP treatment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CS-01</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Leg B traverses a server explicitly labelled as insecure.</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Removed from the target path. Evidenced as a security benefit.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CS-02</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Arrival detection is poll-based with no stated maximum wait or escalation, so a non-arrival is silent until someone notices.</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Replaced with a scheduled window, a defined maximum wait and an alert on non-arrival. SC-06.</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CS-03</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No single transfer audit record spans the end to end movement; evidence is spread across job logs and file areas.</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Single correlated transfer record per leg. SC-08.</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CS-04</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Transfer protocol on the inbound leg is described only as as-is UTM, with no recorded endpoint, credential or directory specification.</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Captured in full in the onboarding specification. DEP-03.</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CS-05</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No documented archive, quarantine or retention position for the file at any hop.</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Defined and configured for both legs. SC-07.</w:t>
            </w:r>
          </w:p>
        </w:tc>
      </w:tr>
    </w:tbl>
    <w:p>
      <w:pPr>
        <w:spacing w:after="160"/>
      </w:pPr>
    </w:p>
    <w:p>
      <w:pPr>
        <w:pStyle w:val="Heading1"/>
        <w:spacing w:after="140" w:before="360"/>
      </w:pPr>
      <w:r>
        <w:t xml:space="preserve">5. Target state</w:t>
      </w:r>
    </w:p>
    <w:p>
      <w:pPr>
        <w:spacing w:after="140"/>
        <w:jc w:val="left"/>
      </w:pPr>
      <w:r>
        <w:rPr>
          <w:sz w:val="21"/>
          <w:szCs w:val="21"/>
        </w:rPr>
        <w:t xml:space="preserve">In the target state Boomi MFT owns the two boundary movements and nothing else. The internal Maestro staging and extraction chain is retained as is. Leg A collects the supplier flat file and delivers it into the NPS file landing area, at which point the existing chain proceeds unchanged. Leg B collects from the MWS file output area and delivers directly to the ONS endpoint, removing the IF server hop.</w:t>
      </w:r>
    </w:p>
    <w:p>
      <w:pPr>
        <w:spacing w:after="60" w:before="200"/>
        <w:jc w:val="center"/>
      </w:pPr>
      <w:r>
        <w:drawing>
          <wp:inline distT="0" distB="0" distL="0" distR="0">
            <wp:extent cx="6286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266950"/>
                    </a:xfrm>
                    <a:prstGeom prst="rect">
                      <a:avLst/>
                    </a:prstGeom>
                  </pic:spPr>
                </pic:pic>
              </a:graphicData>
            </a:graphic>
          </wp:inline>
        </w:drawing>
      </w:r>
    </w:p>
    <w:p>
      <w:pPr>
        <w:spacing w:after="200"/>
        <w:jc w:val="center"/>
      </w:pPr>
      <w:r>
        <w:rPr>
          <w:i/>
          <w:iCs/>
          <w:color w:val="505A5F"/>
          <w:sz w:val="17"/>
          <w:szCs w:val="17"/>
        </w:rPr>
        <w:t xml:space="preserve">Figure 2. Target state. Boomi MFT owns the two boundary movements. The internal chain is unchanged and the insecure hop is removed.</w:t>
      </w:r>
    </w:p>
    <w:p>
      <w:pPr>
        <w:pStyle w:val="Heading2"/>
        <w:spacing w:after="100" w:before="240"/>
      </w:pPr>
      <w:r>
        <w:t xml:space="preserve">5.1 Design constraints carried into the MVP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3962"/>
        <w:gridCol w:w="4953"/>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Ref</w:t>
            </w:r>
          </w:p>
        </w:tc>
        <w:tc>
          <w:tcPr>
            <w:tcW w:type="dxa" w:w="3962"/>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Constraint</w:t>
            </w:r>
          </w:p>
        </w:tc>
        <w:tc>
          <w:tcPr>
            <w:tcW w:type="dxa" w:w="4953"/>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Consequence for the MVP</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CON-01</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Config over construction. An approved interface becomes a configuration row consumed by one generic engine process.</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Two configuration rows only. Any need for a bespoke component is recorded as an MVP failure condition, not worked around.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CON-02</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Boomi MFT complements the incumbent ESDES and SDS estate rather than replacing it.</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MVP runs in parallel and does not require the incumbent path to be switched off to be judged successful.</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CON-03</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Visibility is a feature. Observability and audit are first-class requirements.</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Operational evidence is a pass or fail criterion, not a nice to have. SC-08, SC-09.</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CON-04</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Prove it before you promise it.</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No delivery date for wider onboarding is published until the MVP effort record exists. SC-12.</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CON-05</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Anti-virus scanning ceiling of approximately 250 MB via the endpoint scanning route (G-15).</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File size must be measured at the October observation. If it approaches the ceiling the large-file design decision is pulled forward.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CON-06</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No documented native path to source MFT credentials from the enterprise secrets store (G-14).</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MVP attempts it, records the outcome, and documents the interim position with an owner and a review date.</w:t>
            </w:r>
          </w:p>
        </w:tc>
      </w:tr>
    </w:tbl>
    <w:p>
      <w:pPr>
        <w:spacing w:after="160"/>
      </w:pPr>
    </w:p>
    <w:p>
      <w:pPr>
        <w:pStyle w:val="Heading1"/>
        <w:spacing w:after="140" w:before="360"/>
      </w:pPr>
      <w:r>
        <w:t xml:space="preserve">6. Steps involved</w:t>
      </w:r>
    </w:p>
    <w:p>
      <w:pPr>
        <w:spacing w:after="140"/>
        <w:jc w:val="left"/>
      </w:pPr>
      <w:r>
        <w:rPr>
          <w:sz w:val="21"/>
          <w:szCs w:val="21"/>
        </w:rPr>
        <w:t xml:space="preserve">Work is organised into seven workstreams. Steps are sequenced by dependency rather than by calendar; the indicative timeline in section 12 maps them to weeks.</w:t>
      </w:r>
    </w:p>
    <w:p>
      <w:pPr>
        <w:pStyle w:val="Heading2"/>
        <w:spacing w:after="100" w:before="240"/>
      </w:pPr>
      <w:r>
        <w:t xml:space="preserve">6.1 WS-1 Discovery and specification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755"/>
        <w:gridCol w:w="4160"/>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Step</w:t>
            </w:r>
          </w:p>
        </w:tc>
        <w:tc>
          <w:tcPr>
            <w:tcW w:type="dxa" w:w="475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Activity</w:t>
            </w:r>
          </w:p>
        </w:tc>
        <w:tc>
          <w:tcPr>
            <w:tcW w:type="dxa" w:w="4160"/>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Output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S-01</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Complete the onboarding specification for both legs using the structured question set in section 10.</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Signed onboarding specification, both legs</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S-02</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Confirm data classification and whether a data protection impact assessment is required or already held for this feed.</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Classification decision, DPIA position</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S-03</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Identify and name the source contact, destination contact, feed owner and receiving contact at ONS.</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Named contact list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S-04</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Observe the 1 October 2026 natural cycle. Capture file size, exact file name, arrival time, run duration and any manual intervention.</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Baseline observation record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S-05</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Obtain a representative file, anonymised or synthetic, structurally identical to production, for replay testing.</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Replay test file and its provenance note</w:t>
            </w:r>
          </w:p>
        </w:tc>
      </w:tr>
    </w:tbl>
    <w:p>
      <w:pPr>
        <w:spacing w:after="160"/>
      </w:pPr>
    </w:p>
    <w:p>
      <w:pPr>
        <w:pStyle w:val="Heading2"/>
        <w:spacing w:after="100" w:before="240"/>
      </w:pPr>
      <w:r>
        <w:t xml:space="preserve">6.2 WS-2 Connectivity and security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755"/>
        <w:gridCol w:w="4160"/>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Step</w:t>
            </w:r>
          </w:p>
        </w:tc>
        <w:tc>
          <w:tcPr>
            <w:tcW w:type="dxa" w:w="475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Activity</w:t>
            </w:r>
          </w:p>
        </w:tc>
        <w:tc>
          <w:tcPr>
            <w:tcW w:type="dxa" w:w="4160"/>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Output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S-06</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Agree runtime placement for both legs and record the reasoning.</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Runtime placement decision</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S-07</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Raise firewall and allow-list changes for the internal source endpoint. Track lead time as a measured figure.</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Approved change records, measured lead time</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S-08</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Agree the receiving endpoint, protocol, host key and credential exchange with ONS. Raise the external firewall and allow-list changes.</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ONS endpoint agreement, approved change records</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S-09</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Attempt credential sourcing from the enterprise secrets store for both legs. Record success or the precise blocker.</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Credential sourcing outcome against G-14</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S-10</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Confirm anti-virus scanning coverage and behaviour on scan failure and on scan ceiling breach.</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Scanning position against G-15</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S-11</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Prove reachability in both directions before any flow is configured.</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Connectivity proof record</w:t>
            </w:r>
          </w:p>
        </w:tc>
      </w:tr>
    </w:tbl>
    <w:p>
      <w:pPr>
        <w:spacing w:after="160"/>
      </w:pPr>
    </w:p>
    <w:p>
      <w:pPr>
        <w:pStyle w:val="Heading2"/>
        <w:spacing w:after="100" w:before="240"/>
      </w:pPr>
      <w:r>
        <w:t xml:space="preserve">6.3 WS-3 Configuration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755"/>
        <w:gridCol w:w="4160"/>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Step</w:t>
            </w:r>
          </w:p>
        </w:tc>
        <w:tc>
          <w:tcPr>
            <w:tcW w:type="dxa" w:w="475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Activity</w:t>
            </w:r>
          </w:p>
        </w:tc>
        <w:tc>
          <w:tcPr>
            <w:tcW w:type="dxa" w:w="4160"/>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Output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S-12</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Create the leg A configuration row: source endpoint, directory, file mask, schedule, wait and retry, destination, archive, quarantine, retention.</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MFT-INT-001 configuration row</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S-13</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Create the leg B configuration row against the same generic engine.</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MFT-EXT-001 configuration row</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S-14</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Configure alerting on non-arrival, transfer failure, scan failure and destination rejection.</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Alert definitions and routing</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S-15</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Record every instance where the generic engine could not satisfy the requirement through configuration alone.</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Engine gap log, empty is the target</w:t>
            </w:r>
          </w:p>
        </w:tc>
      </w:tr>
    </w:tbl>
    <w:p>
      <w:pPr>
        <w:spacing w:after="160"/>
      </w:pPr>
    </w:p>
    <w:p>
      <w:pPr>
        <w:pStyle w:val="Heading2"/>
        <w:spacing w:after="100" w:before="240"/>
      </w:pPr>
      <w:r>
        <w:t xml:space="preserve">6.4 WS-4 Test and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755"/>
        <w:gridCol w:w="4160"/>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Step</w:t>
            </w:r>
          </w:p>
        </w:tc>
        <w:tc>
          <w:tcPr>
            <w:tcW w:type="dxa" w:w="475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Activity</w:t>
            </w:r>
          </w:p>
        </w:tc>
        <w:tc>
          <w:tcPr>
            <w:tcW w:type="dxa" w:w="4160"/>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Output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S-16</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Replay test, leg A. Happy path, file absent, late arrival, zero byte file, duplicate file, oversized file, scan failure.</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Leg A test evidence</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S-17</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Replay test, leg B. Happy path, destination unavailable, credential rejection, partial transfer, destination rejection of a valid file.</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Leg B test evidence</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S-18</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Reconciliation test. Byte for byte comparison of the file delivered by the Boomi path against the incumbent path.</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Reconciliation record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S-19</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Restart and resume test. Interrupt a transfer mid-flight and confirm recoverable behaviour without duplication or data loss.</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Resilience evidence</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S-20</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Manual promotion of both configuration rows between environments, documenting the absence of a native pipeline (G-13).</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Promotion record and G-13 impact statement</w:t>
            </w:r>
          </w:p>
        </w:tc>
      </w:tr>
    </w:tbl>
    <w:p>
      <w:pPr>
        <w:spacing w:after="160"/>
      </w:pPr>
    </w:p>
    <w:p>
      <w:pPr>
        <w:pStyle w:val="Heading2"/>
        <w:spacing w:after="100" w:before="240"/>
      </w:pPr>
      <w:r>
        <w:t xml:space="preserve">6.5 WS-5 Parallel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755"/>
        <w:gridCol w:w="4160"/>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Step</w:t>
            </w:r>
          </w:p>
        </w:tc>
        <w:tc>
          <w:tcPr>
            <w:tcW w:type="dxa" w:w="475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Activity</w:t>
            </w:r>
          </w:p>
        </w:tc>
        <w:tc>
          <w:tcPr>
            <w:tcW w:type="dxa" w:w="4160"/>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Output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S-21</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Execute both legs on the 1 January 2027 natural cycle alongside the incumbent path, with the incumbent path remaining authoritative.</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Parallel run log</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S-22</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Reconcile Boomi output against incumbent output and against the ONS acknowledgement.</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Parallel reconciliation record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S-23</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Capture the operational experience of the run from the Service Operations perspective, not the project perspective.</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Operations feedback record</w:t>
            </w:r>
          </w:p>
        </w:tc>
      </w:tr>
    </w:tbl>
    <w:p>
      <w:pPr>
        <w:spacing w:after="160"/>
      </w:pPr>
    </w:p>
    <w:p>
      <w:pPr>
        <w:pStyle w:val="Heading2"/>
        <w:spacing w:after="100" w:before="240"/>
      </w:pPr>
      <w:r>
        <w:t xml:space="preserve">6.6 WS-6 Operational readiness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755"/>
        <w:gridCol w:w="4160"/>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Step</w:t>
            </w:r>
          </w:p>
        </w:tc>
        <w:tc>
          <w:tcPr>
            <w:tcW w:type="dxa" w:w="475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Activity</w:t>
            </w:r>
          </w:p>
        </w:tc>
        <w:tc>
          <w:tcPr>
            <w:tcW w:type="dxa" w:w="4160"/>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Output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S-24</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Produce the support pack: runbook, alert catalogue, failure modes, escalation path, restart procedure, contact list.</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Support pack</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S-25</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Walk Service Operations through a live failure and a live recovery.</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Operations acceptance record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S-26</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Agree the rollback trigger and the rollback procedure to the incumbent path.</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Rollback plan, signed</w:t>
            </w:r>
          </w:p>
        </w:tc>
      </w:tr>
    </w:tbl>
    <w:p>
      <w:pPr>
        <w:spacing w:after="160"/>
      </w:pPr>
    </w:p>
    <w:p>
      <w:pPr>
        <w:pStyle w:val="Heading2"/>
        <w:spacing w:after="100" w:before="240"/>
      </w:pPr>
      <w:r>
        <w:t xml:space="preserve">6.7 WS-7 Assessment and recommendation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755"/>
        <w:gridCol w:w="4160"/>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Step</w:t>
            </w:r>
          </w:p>
        </w:tc>
        <w:tc>
          <w:tcPr>
            <w:tcW w:type="dxa" w:w="475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Activity</w:t>
            </w:r>
          </w:p>
        </w:tc>
        <w:tc>
          <w:tcPr>
            <w:tcW w:type="dxa" w:w="4160"/>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Output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S-27</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Assess every success criterion in section 8 as met, partially met or not met, with evidence referenced.</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Success criteria assessment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S-28</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Consolidate the measured effort record across all steps.</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Effort baseline for onboarding estimation</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S-29</w:t>
            </w:r>
          </w:p>
        </w:tc>
        <w:tc>
          <w:tcPr>
            <w:tcW w:type="dxa" w:w="475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Produce the go, go-with-conditions or no-go recommendation with the conditions and their owners named.</w:t>
            </w:r>
          </w:p>
        </w:tc>
        <w:tc>
          <w:tcPr>
            <w:tcW w:type="dxa" w:w="416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MVP closure report and recommendation</w:t>
            </w:r>
          </w:p>
        </w:tc>
      </w:tr>
    </w:tbl>
    <w:p>
      <w:pPr>
        <w:spacing w:after="160"/>
      </w:pPr>
    </w:p>
    <w:p>
      <w:pPr>
        <w:pStyle w:val="Heading1"/>
        <w:spacing w:after="140" w:before="360"/>
      </w:pPr>
      <w:r>
        <w:t xml:space="preserve">7. Dependencies</w:t>
      </w:r>
    </w:p>
    <w:p>
      <w:pPr>
        <w:spacing w:after="140"/>
        <w:jc w:val="left"/>
      </w:pPr>
      <w:r>
        <w:rPr>
          <w:sz w:val="21"/>
          <w:szCs w:val="21"/>
        </w:rPr>
        <w:t xml:space="preserve">Dependencies are listed with the role that owns them and an indicative lead time. Named individuals are to be supplied before work starts, in line with the prove it before you promise it principle. Lead time is the elapsed time from request to usable, not the effort involved.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
        <w:gridCol w:w="4161"/>
        <w:gridCol w:w="1981"/>
        <w:gridCol w:w="1387"/>
        <w:gridCol w:w="1585"/>
      </w:tblGrid>
      <w:tr>
        <w:trPr>
          <w:tblHeader/>
        </w:trPr>
        <w:tc>
          <w:tcPr>
            <w:tcW w:type="dxa" w:w="792"/>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Ref</w:t>
            </w:r>
          </w:p>
        </w:tc>
        <w:tc>
          <w:tcPr>
            <w:tcW w:type="dxa" w:w="416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Dependency</w:t>
            </w:r>
          </w:p>
        </w:tc>
        <w:tc>
          <w:tcPr>
            <w:tcW w:type="dxa" w:w="198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Owning role</w:t>
            </w:r>
          </w:p>
        </w:tc>
        <w:tc>
          <w:tcPr>
            <w:tcW w:type="dxa" w:w="1387"/>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Lead time</w:t>
            </w:r>
          </w:p>
        </w:tc>
        <w:tc>
          <w:tcPr>
            <w:tcW w:type="dxa" w:w="158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Criticality</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DEP-01</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Named feed owner for ADR.040 with authority to approve the change of transfer mechanism</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Warehouse feed owner, ADR</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1 week</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Critical path</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DEP-02</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Named receiving contact at ONS and agreement to receive from a new sending endpoint</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Cross-department liaison</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4 to 6 weeks</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Critical path</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DEP-03</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Complete source endpoint specification: host, protocol, directory, file mask, credential type</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 system owner, NPS</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2 weeks</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Critical path</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DEP-04</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Complete destination endpoint specification for ONS including host key and credential exchange</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ONS, via liaison</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4 weeks</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Critical path</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DEP-05</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Inbound and outbound firewall and allow-list changes for both legs</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Network security</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4 to 8 weeks</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Critical path</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DEP-06</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Runtime capacity and placement approval for the MFT runtime</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Platform engineering</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2 weeks</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DEP-07</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Credential provisioning, and a decision on enterprise secrets store integration against G-14</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Security architecture</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3 weeks</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DEP-08</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Anti-virus scanning coverage confirmation and the position on the scan ceiling against G-15</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Security operations</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2 weeks</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DEP-09</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Representative anonymised or synthetic test file</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Warehouse feed owner, ADR</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2 weeks</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DEP-10</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Non-production environment with realistic network topology, not a flat sandbox</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Platform engineering</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3 weeks</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DEP-11</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Data protection position: confirmation of classification and whether a DPIA is held or required</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Information governance</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3 weeks</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DEP-12</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Service Operations engagement and acceptance of the support model</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Service Operations</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Ongoing</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DEP-13</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Design Authority slot to review this MVP definition and, separately, the closure report</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Design Authority chair</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2 slots</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DEP-14</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Agreement that the incumbent UTM and IF and SDES paths remain live throughout, including during the parallel run</w:t>
            </w:r>
          </w:p>
        </w:tc>
        <w:tc>
          <w:tcPr>
            <w:tcW w:type="dxa" w:w="198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Incumbent service owner</w:t>
            </w:r>
          </w:p>
        </w:tc>
        <w:tc>
          <w:tcPr>
            <w:tcW w:type="dxa" w:w="138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1 week</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r>
    </w:tbl>
    <w:p>
      <w:pPr>
        <w:spacing w:after="160"/>
      </w:pPr>
    </w:p>
    <w:p>
      <w:pPr>
        <w:pBdr>
          <w:left w:val="single" w:color="1D70B8" w:sz="18"/>
        </w:pBdr>
        <w:shd w:fill="F0F6FB" w:color="auto" w:val="clear"/>
        <w:spacing w:after="200" w:before="160"/>
        <w:ind w:left="180"/>
      </w:pPr>
      <w:r>
        <w:rPr>
          <w:i/>
          <w:iCs/>
          <w:sz w:val="21"/>
          <w:szCs w:val="21"/>
        </w:rPr>
        <w:t xml:space="preserve">DEP-02, DEP-04 and DEP-05 together form the dominant critical path. Cross-department endpoint agreement and firewall change lead time, not configuration effort, will determine when the MVP can conclude.</w:t>
      </w:r>
    </w:p>
    <w:p>
      <w:pPr>
        <w:pStyle w:val="Heading1"/>
        <w:spacing w:after="140" w:before="360"/>
      </w:pPr>
      <w:r>
        <w:t xml:space="preserve">8. Success criteria</w:t>
      </w:r>
    </w:p>
    <w:p>
      <w:pPr>
        <w:spacing w:after="140"/>
        <w:jc w:val="left"/>
      </w:pPr>
      <w:r>
        <w:rPr>
          <w:sz w:val="21"/>
          <w:szCs w:val="21"/>
        </w:rPr>
        <w:t xml:space="preserve">Each criterion has a stated measure and a threshold. A criterion is met, partially met or not met. The MVP does not require every criterion to be met to produce a useful outcome, but the recommendation must state which were not met and why.</w:t>
      </w:r>
    </w:p>
    <w:p>
      <w:pPr>
        <w:pStyle w:val="Heading2"/>
        <w:spacing w:after="100" w:before="240"/>
      </w:pPr>
      <w:r>
        <w:t xml:space="preserve">8.1 Functional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161"/>
        <w:gridCol w:w="4754"/>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Ref</w:t>
            </w:r>
          </w:p>
        </w:tc>
        <w:tc>
          <w:tcPr>
            <w:tcW w:type="dxa" w:w="416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Criterion</w:t>
            </w:r>
          </w:p>
        </w:tc>
        <w:tc>
          <w:tcPr>
            <w:tcW w:type="dxa" w:w="4754"/>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Measure and threshold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SC-01</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Leg A delivers the file from the source endpoint into the NPS file landing area</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Three consecutive successful replay transfers, plus one parallel run transfer, all byte identical to source</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SC-02</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Leg B delivers the file from the MWS file output area to the ONS endpoint</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Three consecutive successful replay transfers plus one parallel run transfer, each acknowledged by ONS</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SC-03</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existing Maestro chain runs unchanged after Boomi MFT delivers into the landing area</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Zero changes to Maestro job definitions; the chain completes with no manual intervention</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SC-04</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IF server hop is absent from the leg B path</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Path trace shows no traversal of the IF server</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SC-05</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Scheduling reproduces the quarterly trigger with a defined arrival window</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Flow triggers on the correct date and holds for the agreed maximum wait before escalating</w:t>
            </w:r>
          </w:p>
        </w:tc>
      </w:tr>
    </w:tbl>
    <w:p>
      <w:pPr>
        <w:spacing w:after="160"/>
      </w:pPr>
    </w:p>
    <w:p>
      <w:pPr>
        <w:pStyle w:val="Heading2"/>
        <w:spacing w:after="100" w:before="240"/>
      </w:pPr>
      <w:r>
        <w:t xml:space="preserve">8.2 Control and security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161"/>
        <w:gridCol w:w="4754"/>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Ref</w:t>
            </w:r>
          </w:p>
        </w:tc>
        <w:tc>
          <w:tcPr>
            <w:tcW w:type="dxa" w:w="416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Criterion</w:t>
            </w:r>
          </w:p>
        </w:tc>
        <w:tc>
          <w:tcPr>
            <w:tcW w:type="dxa" w:w="4754"/>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Measure and threshold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SC-06</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Non-arrival is detected and escalated rather than passing silently</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Alert raised within the agreed maximum wait, routed to a named queue, evidenced in a test</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SC-07</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Archive, quarantine and retention behave as configured</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 failed file lands in quarantine and does not reach the destination; a successful file is archived and expires on the configured retention</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SC-08</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 single correlated audit record exists per transfer</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One record per leg per run showing source, destination, size, checksum, timestamps, outcome and operator identity where applicable</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SC-09</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Anti-virus scanning is applied and enforced</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 deliberately infected test file is blocked and quarantined; behaviour at the scan ceiling is documented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SC-10</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Credentials are not held in flow configuration in clear</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Credential sourcing route documented; if the enterprise secrets store cannot be used, the interim control is documented with an owner and review date</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SC-11</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Transport security meets the standard applicable to an OFFICIAL feed crossing a departmental boundary</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Protocol, cipher and key exchange recorded and confirmed acceptable by security architecture</w:t>
            </w:r>
          </w:p>
        </w:tc>
      </w:tr>
    </w:tbl>
    <w:p>
      <w:pPr>
        <w:spacing w:after="160"/>
      </w:pPr>
    </w:p>
    <w:p>
      <w:pPr>
        <w:pStyle w:val="Heading2"/>
        <w:spacing w:after="100" w:before="240"/>
      </w:pPr>
      <w:r>
        <w:t xml:space="preserve">8.3 Delivery and operational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161"/>
        <w:gridCol w:w="4754"/>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Ref</w:t>
            </w:r>
          </w:p>
        </w:tc>
        <w:tc>
          <w:tcPr>
            <w:tcW w:type="dxa" w:w="416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Criterion</w:t>
            </w:r>
          </w:p>
        </w:tc>
        <w:tc>
          <w:tcPr>
            <w:tcW w:type="dxa" w:w="4754"/>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Measure and threshold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SC-12</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Both legs are delivered as configuration rows only</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Zero bespoke Boomi components created; engine gap log is empty. A non-empty gap log is a material finding</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SC-13</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Onboarding effort is measured, not estimated</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Effort recorded per step in hours, split between configuration effort and waiting on dependencies</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SC-14</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Service Operations accepts the flows into support</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Signed operations acceptance following a live failure and recovery walkthrough</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SC-15</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Rollback to the incumbent path is proven, not assumed</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Rollback executed at least once in a non-production environment and timed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SC-16</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Parallel run output reconciles with the incumbent output</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Byte for byte match, and ONS confirms no difference in the received file</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SC-17</w:t>
            </w:r>
          </w:p>
        </w:tc>
        <w:tc>
          <w:tcPr>
            <w:tcW w:type="dxa" w:w="416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Platform gaps are evidenced rather than worked around</w:t>
            </w:r>
          </w:p>
        </w:tc>
        <w:tc>
          <w:tcPr>
            <w:tcW w:type="dxa" w:w="475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G-13, G-14 and G-15 each carry a written impact statement with a named owner by MVP close</w:t>
            </w:r>
          </w:p>
        </w:tc>
      </w:tr>
    </w:tbl>
    <w:p>
      <w:pPr>
        <w:spacing w:after="160"/>
      </w:pPr>
    </w:p>
    <w:p>
      <w:pPr>
        <w:pStyle w:val="Heading1"/>
        <w:spacing w:after="140" w:before="360"/>
      </w:pPr>
      <w:r>
        <w:t xml:space="preserve">9. Exit criteria and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6"/>
        <w:gridCol w:w="7330"/>
      </w:tblGrid>
      <w:tr>
        <w:trPr>
          <w:tblHeader/>
        </w:trPr>
        <w:tc>
          <w:tcPr>
            <w:tcW w:type="dxa" w:w="2576"/>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Outcome</w:t>
            </w:r>
          </w:p>
        </w:tc>
        <w:tc>
          <w:tcPr>
            <w:tcW w:type="dxa" w:w="7330"/>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Condition</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Go</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SC-01 to SC-09, SC-12, SC-14 and SC-16 met. Any remaining criterion partially met with a named owner and a date.</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Go with conditions</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All functional criteria met but one or more of SC-10, SC-11, SC-15 or SC-17 unresolved. Conditions are listed with owners and review dates, and wider onboarding is capped until they close.</w:t>
            </w:r>
          </w:p>
        </w:tc>
      </w:tr>
      <w:tr>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No go</w:t>
            </w:r>
          </w:p>
        </w:tc>
        <w:tc>
          <w:tcPr>
            <w:tcW w:type="dxa" w:w="7330"/>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SC-12 not met, meaning the platform required bespoke construction per interface; or SC-01 or SC-02 not met; or a security criterion cannot be met without a waiver.</w:t>
            </w:r>
          </w:p>
        </w:tc>
      </w:tr>
    </w:tbl>
    <w:p>
      <w:pPr>
        <w:spacing w:after="160"/>
      </w:pPr>
    </w:p>
    <w:p>
      <w:pPr>
        <w:pBdr>
          <w:left w:val="single" w:color="1D70B8" w:sz="18"/>
        </w:pBdr>
        <w:shd w:fill="F0F6FB" w:color="auto" w:val="clear"/>
        <w:spacing w:after="200" w:before="160"/>
        <w:ind w:left="180"/>
      </w:pPr>
      <w:r>
        <w:rPr>
          <w:i/>
          <w:iCs/>
          <w:sz w:val="21"/>
          <w:szCs w:val="21"/>
        </w:rPr>
        <w:t xml:space="preserve">SC-12 is the decisive criterion. If two structurally similar file transfers cannot both be delivered as configuration against one generic engine, the config over construction principle does not hold in practice and the wider onboarding economics do not follow.</w:t>
      </w:r>
    </w:p>
    <w:p>
      <w:pPr>
        <w:pStyle w:val="Heading1"/>
        <w:spacing w:after="140" w:before="360"/>
      </w:pPr>
      <w:r>
        <w:t xml:space="preserve">10. Onboarding specification</w:t>
      </w:r>
    </w:p>
    <w:p>
      <w:pPr>
        <w:spacing w:after="140"/>
        <w:jc w:val="left"/>
      </w:pPr>
      <w:r>
        <w:rPr>
          <w:sz w:val="21"/>
          <w:szCs w:val="21"/>
        </w:rPr>
        <w:t xml:space="preserve">This is the structured question set that must be completed for both legs before configuration begins. It is reproduced in full because incomplete answers here are the most common cause of file transfer onboarding overrun, and because the answers themselves become the configuration rows.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85"/>
        <w:gridCol w:w="2576"/>
        <w:gridCol w:w="2873"/>
        <w:gridCol w:w="2872"/>
      </w:tblGrid>
      <w:tr>
        <w:trPr>
          <w:tblHeader/>
        </w:trPr>
        <w:tc>
          <w:tcPr>
            <w:tcW w:type="dxa" w:w="158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Section</w:t>
            </w:r>
          </w:p>
        </w:tc>
        <w:tc>
          <w:tcPr>
            <w:tcW w:type="dxa" w:w="2576"/>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Item</w:t>
            </w:r>
          </w:p>
        </w:tc>
        <w:tc>
          <w:tcPr>
            <w:tcW w:type="dxa" w:w="2873"/>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Leg A, NPS to ADR</w:t>
            </w:r>
          </w:p>
        </w:tc>
        <w:tc>
          <w:tcPr>
            <w:tcW w:type="dxa" w:w="2872"/>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Leg B, ADR to ONS</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Trigger</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API or poll</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Trigger</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Schedule and frequency</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Quarterly, first day of Jan, Apr, Jul, Oct</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 completion of the internal chain, to confirm</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Trigger</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Maximum wait before escalation</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Endpoint host and protocol</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 currently UTM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ADR MWS file output area</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Credentials and credential type</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Directory and path</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File naming pattern or mask</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Migrant Worker Scan data, mask to confirm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File format</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Flat file, structure to confirm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As produced by Maestro job 4</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Average and maximum size</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measure at the October observation</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measure</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Archival required and directory</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Error and quarantine folder</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Destination</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Endpoint host and protocol</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ADR NPS file landing area</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ONS receiving endpoint, to confirm</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Destination</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Credentials and credential type</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Destination</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Directory and path</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Destination</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Acknowledgement or receipt mechanism</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None today</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 with ONS</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Governance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Data classification</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 assumed OFFICIAL personal data</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Same</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Governance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Point of contact, source</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name</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name</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Governance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Point of contact, destination</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name</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name</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Governance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Firewall or IP allow-list required from either side</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Assumed yes</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Assumed yes, both directions</w:t>
            </w:r>
          </w:p>
        </w:tc>
      </w:tr>
      <w:tr>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Governance</w:t>
            </w:r>
          </w:p>
        </w:tc>
        <w:tc>
          <w:tcPr>
            <w:tcW w:type="dxa" w:w="2576"/>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Retention period at each hop</w:t>
            </w:r>
          </w:p>
        </w:tc>
        <w:tc>
          <w:tcPr>
            <w:tcW w:type="dxa" w:w="287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c>
          <w:tcPr>
            <w:tcW w:type="dxa" w:w="28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To confirm</w:t>
            </w:r>
          </w:p>
        </w:tc>
      </w:tr>
    </w:tbl>
    <w:p>
      <w:pPr>
        <w:spacing w:after="160"/>
      </w:pPr>
    </w:p>
    <w:p>
      <w:pPr>
        <w:pStyle w:val="Heading1"/>
        <w:spacing w:after="140" w:before="360"/>
      </w:pPr>
      <w:r>
        <w:t xml:space="preserve">11. Assumptions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4953"/>
        <w:gridCol w:w="3962"/>
      </w:tblGrid>
      <w:tr>
        <w:trPr>
          <w:tblHeader/>
        </w:trPr>
        <w:tc>
          <w:tcPr>
            <w:tcW w:type="dxa" w:w="991"/>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Ref</w:t>
            </w:r>
          </w:p>
        </w:tc>
        <w:tc>
          <w:tcPr>
            <w:tcW w:type="dxa" w:w="4953"/>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Assumption</w:t>
            </w:r>
          </w:p>
        </w:tc>
        <w:tc>
          <w:tcPr>
            <w:tcW w:type="dxa" w:w="3962"/>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If invalid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A-01</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file content and structure are unchanged by moving the transport mechanism.</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Scope expands to include content validation, and the MVP is no longer a transport-only proof.</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A-02</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ONS will accept delivery from a new sending endpoint within the MVP window.</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Leg B cannot complete and the internal to external pattern is unproven. This is the single largest schedule risk.</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A-03</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incumbent UTM and IF and SDES paths remain available throughout.</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parallel run becomes a cutover, which changes the risk profile entirely and requires a different approval.</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A-04</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 representative test file can be produced without production personal data.</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Replay testing must occur under production data handling controls, adding time and constraining the environments that can be used.</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A-05</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File size sits comfortably below the anti-virus scan ceiling.</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large file design decision is pulled forward into the MVP, expanding scope.</w:t>
            </w:r>
          </w:p>
        </w:tc>
      </w:tr>
      <w:tr>
        <w:tc>
          <w:tcPr>
            <w:tcW w:type="dxa" w:w="991"/>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A-06</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internal Maestro chain will accept a file delivered by a different mechanism without modification.</w:t>
            </w:r>
          </w:p>
        </w:tc>
        <w:tc>
          <w:tcPr>
            <w:tcW w:type="dxa" w:w="396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SC-03 fails and the MVP scope extends into the warehouse processing chain.</w:t>
            </w:r>
          </w:p>
        </w:tc>
      </w:tr>
    </w:tbl>
    <w:p>
      <w:pPr>
        <w:spacing w:after="160"/>
      </w:pPr>
    </w:p>
    <w:p>
      <w:pPr>
        <w:pStyle w:val="Heading1"/>
        <w:spacing w:after="140" w:before="360"/>
      </w:pPr>
      <w:r>
        <w:t xml:space="preserve">12. Indicative timeline</w:t>
      </w:r>
    </w:p>
    <w:p>
      <w:pPr>
        <w:spacing w:after="140"/>
        <w:jc w:val="left"/>
      </w:pPr>
      <w:r>
        <w:rPr>
          <w:sz w:val="21"/>
          <w:szCs w:val="21"/>
        </w:rPr>
        <w:t xml:space="preserve">Weeks are indicative and anchored on the dependency lead times in section 7. The plan deliberately does not target the 1 October 2026 cycle, because cross-department agreement and firewall change lead times cannot compress into three weeks.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4557"/>
        <w:gridCol w:w="2972"/>
      </w:tblGrid>
      <w:tr>
        <w:trPr>
          <w:tblHeader/>
        </w:trPr>
        <w:tc>
          <w:tcPr>
            <w:tcW w:type="dxa" w:w="2377"/>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Window</w:t>
            </w:r>
          </w:p>
        </w:tc>
        <w:tc>
          <w:tcPr>
            <w:tcW w:type="dxa" w:w="4557"/>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Focus</w:t>
            </w:r>
          </w:p>
        </w:tc>
        <w:tc>
          <w:tcPr>
            <w:tcW w:type="dxa" w:w="2972"/>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Milestone</w:t>
            </w:r>
          </w:p>
        </w:tc>
      </w:tr>
      <w:tr>
        <w:tc>
          <w:tcPr>
            <w:tcW w:type="dxa" w:w="237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Weeks 1 to 3, Sept 2026</w:t>
            </w:r>
          </w:p>
        </w:tc>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WS-1 discovery and specification. Raise DEP-02 and DEP-05 on day one, since they carry the longest lead times.</w:t>
            </w:r>
          </w:p>
        </w:tc>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Onboarding specification drafted</w:t>
            </w:r>
          </w:p>
        </w:tc>
      </w:tr>
      <w:tr>
        <w:tc>
          <w:tcPr>
            <w:tcW w:type="dxa" w:w="237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Week 3, 1 Oct 2026</w:t>
            </w:r>
          </w:p>
        </w:tc>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Observe the natural quarterly cycle on the incumbent path.</w:t>
            </w:r>
          </w:p>
        </w:tc>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Baseline observation captured</w:t>
            </w:r>
          </w:p>
        </w:tc>
      </w:tr>
      <w:tr>
        <w:tc>
          <w:tcPr>
            <w:tcW w:type="dxa" w:w="237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Weeks 4 to 9, Oct to mid Nov 2026</w:t>
            </w:r>
          </w:p>
        </w:tc>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WS-2 connectivity and security. Firewall changes, ONS endpoint agreement, credential sourcing.</w:t>
            </w:r>
          </w:p>
        </w:tc>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Connectivity proven both legs</w:t>
            </w:r>
          </w:p>
        </w:tc>
      </w:tr>
      <w:tr>
        <w:tc>
          <w:tcPr>
            <w:tcW w:type="dxa" w:w="237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Weeks 8 to 11, Nov 2026</w:t>
            </w:r>
          </w:p>
        </w:tc>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WS-3 configuration. Both configuration rows built against the generic engine.</w:t>
            </w:r>
          </w:p>
        </w:tc>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MFT-INT-001 and MFT-EXT-001 configured</w:t>
            </w:r>
          </w:p>
        </w:tc>
      </w:tr>
      <w:tr>
        <w:tc>
          <w:tcPr>
            <w:tcW w:type="dxa" w:w="237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Weeks 10 to 14, Nov to Dec 2026</w:t>
            </w:r>
          </w:p>
        </w:tc>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WS-4 replay testing and evidence capture.</w:t>
            </w:r>
          </w:p>
        </w:tc>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Test evidence pack complete</w:t>
            </w:r>
          </w:p>
        </w:tc>
      </w:tr>
      <w:tr>
        <w:tc>
          <w:tcPr>
            <w:tcW w:type="dxa" w:w="237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Week 15, 1 Jan 2027</w:t>
            </w:r>
          </w:p>
        </w:tc>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WS-5 parallel run on the natural cycle.</w:t>
            </w:r>
          </w:p>
        </w:tc>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Parallel run reconciled</w:t>
            </w:r>
          </w:p>
        </w:tc>
      </w:tr>
      <w:tr>
        <w:tc>
          <w:tcPr>
            <w:tcW w:type="dxa" w:w="237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Weeks 15 to 17, Jan 2027</w:t>
            </w:r>
          </w:p>
        </w:tc>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WS-6 operational readiness and WS-7 assessment.</w:t>
            </w:r>
          </w:p>
        </w:tc>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Closure report and recommendation</w:t>
            </w:r>
          </w:p>
        </w:tc>
      </w:tr>
      <w:tr>
        <w:tc>
          <w:tcPr>
            <w:tcW w:type="dxa" w:w="237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Q2 2027, 1 Apr 2027</w:t>
            </w:r>
          </w:p>
        </w:tc>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First production cycle on Boomi MFT, subject to the go decision.</w:t>
            </w:r>
          </w:p>
        </w:tc>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Production cutover</w:t>
            </w:r>
          </w:p>
        </w:tc>
      </w:tr>
    </w:tbl>
    <w:p>
      <w:pPr>
        <w:spacing w:after="160"/>
      </w:pPr>
    </w:p>
    <w:p>
      <w:pPr>
        <w:pStyle w:val="Heading1"/>
        <w:spacing w:after="140" w:before="360"/>
      </w:pPr>
      <w:r>
        <w:t xml:space="preserve">13. Risks and issues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
        <w:gridCol w:w="3368"/>
        <w:gridCol w:w="1189"/>
        <w:gridCol w:w="1189"/>
        <w:gridCol w:w="3368"/>
      </w:tblGrid>
      <w:tr>
        <w:trPr>
          <w:tblHeader/>
        </w:trPr>
        <w:tc>
          <w:tcPr>
            <w:tcW w:type="dxa" w:w="792"/>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Ref</w:t>
            </w:r>
          </w:p>
        </w:tc>
        <w:tc>
          <w:tcPr>
            <w:tcW w:type="dxa" w:w="3368"/>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Risk</w:t>
            </w:r>
          </w:p>
        </w:tc>
        <w:tc>
          <w:tcPr>
            <w:tcW w:type="dxa" w:w="1189"/>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Impact</w:t>
            </w:r>
          </w:p>
        </w:tc>
        <w:tc>
          <w:tcPr>
            <w:tcW w:type="dxa" w:w="1189"/>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Likelihood</w:t>
            </w:r>
          </w:p>
        </w:tc>
        <w:tc>
          <w:tcPr>
            <w:tcW w:type="dxa" w:w="3368"/>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Mitigation</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R-01</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ONS endpoint agreement is not obtained inside the window</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Raise on day one. Escalate through the cross-department liaison route. If it slips, split the MVP and report leg A separately rather than delaying the whole assessment.</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R-02</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Firewall change lead time exceeds eight weeks</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Raise both change requests before the specification is finalised, using best-known endpoint detail and amending if needed.</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R-03</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generic engine cannot satisfy a requirement through configuration alone</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Low</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Record in the engine gap log rather than building around it. This is a finding, not a defect to hide.</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R-04</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Enterprise secrets store integration is not achievable (G-14)</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Document the interim credential control with a named owner and review date. Treat as a go-with-conditions item, not a blocker.</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R-05</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File size approaches or exceeds the anti-virus scan ceiling (G-15)</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Low</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Measure at the October observation. If close to the ceiling, raise the large-file design decision immediately.</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R-06</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No production-like non-production environment is available, so testing proves nothing about the real network path</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DEP-10 raised early. If unavailable, state explicitly that connectivity evidence is production-only and the test evidence is partial.</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R-07</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Configuration promotion between environments has no native pipeline (G-13)</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Perform promotion manually and document it. The MVP evidences the gap; it does not solve it.</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R-08</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Personal data handling constraints prevent replay testing with realistic files</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Request synthetic data early via DEP-09. Fall back to structurally identical dummy content.</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R-09</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MVP is read as a commitment to decommission UTM, the IF server or SDES</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State the out of scope position in every communication. Section 3.2 exists for this purpose.</w:t>
            </w:r>
          </w:p>
        </w:tc>
      </w:tr>
      <w:tr>
        <w:tc>
          <w:tcPr>
            <w:tcW w:type="dxa" w:w="79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R-10</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Quarterly cadence means only one natural run falls inside the window, so production-cycle evidence is a single data point</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Medium</w:t>
            </w:r>
          </w:p>
        </w:tc>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High</w:t>
            </w:r>
          </w:p>
        </w:tc>
        <w:tc>
          <w:tcPr>
            <w:tcW w:type="dxa" w:w="3368"/>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Accepted and declared. Replay evidence carries the volume; the single natural run carries the realism.</w:t>
            </w:r>
          </w:p>
        </w:tc>
      </w:tr>
    </w:tbl>
    <w:p>
      <w:pPr>
        <w:spacing w:after="160"/>
      </w:pPr>
    </w:p>
    <w:p>
      <w:pPr>
        <w:pStyle w:val="Heading1"/>
        <w:spacing w:after="140" w:before="360"/>
      </w:pPr>
      <w:r>
        <w:t xml:space="preserve">14. Open decisions requiring a named owner</w:t>
      </w:r>
    </w:p>
    <w:p>
      <w:pPr>
        <w:spacing w:after="140"/>
        <w:jc w:val="left"/>
      </w:pPr>
      <w:r>
        <w:rPr>
          <w:sz w:val="21"/>
          <w:szCs w:val="21"/>
        </w:rPr>
        <w:t xml:space="preserve">Logged formally rather than deferred silently. Each requires an owner before the corresponding workstream can complete.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89"/>
        <w:gridCol w:w="4953"/>
        <w:gridCol w:w="2179"/>
        <w:gridCol w:w="1585"/>
      </w:tblGrid>
      <w:tr>
        <w:trPr>
          <w:tblHeader/>
        </w:trPr>
        <w:tc>
          <w:tcPr>
            <w:tcW w:type="dxa" w:w="1189"/>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Ref</w:t>
            </w:r>
          </w:p>
        </w:tc>
        <w:tc>
          <w:tcPr>
            <w:tcW w:type="dxa" w:w="4953"/>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Decision required</w:t>
            </w:r>
          </w:p>
        </w:tc>
        <w:tc>
          <w:tcPr>
            <w:tcW w:type="dxa" w:w="2179"/>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Owning role</w:t>
            </w:r>
          </w:p>
        </w:tc>
        <w:tc>
          <w:tcPr>
            <w:tcW w:type="dxa" w:w="1585"/>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Needed by</w:t>
            </w:r>
          </w:p>
        </w:tc>
      </w:tr>
      <w:tr>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D-MVP-01</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Confirm the data classification of the Migrant Workers Scan file and whether a DPIA is held, required or not applicable.</w:t>
            </w:r>
          </w:p>
        </w:tc>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Information governance</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S-02</w:t>
            </w:r>
          </w:p>
        </w:tc>
      </w:tr>
      <w:tr>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D-MVP-02</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Confirm whether leg B should target ONS directly or continue to route via SDES with Boomi MFT replacing only the IF server hop.</w:t>
            </w:r>
          </w:p>
        </w:tc>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Design Authority</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S-08</w:t>
            </w:r>
          </w:p>
        </w:tc>
      </w:tr>
      <w:tr>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D-MVP-03</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Confirm the interim credential control if the enterprise secrets store cannot be used, with a review date (G-14).</w:t>
            </w:r>
          </w:p>
        </w:tc>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Security architecture</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S-09</w:t>
            </w:r>
          </w:p>
        </w:tc>
      </w:tr>
      <w:tr>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D-MVP-04</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Confirm the acceptable maximum wait for file arrival and the escalation route on non-arrival.</w:t>
            </w:r>
          </w:p>
        </w:tc>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Warehouse feed owner, ADR</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S-12</w:t>
            </w:r>
          </w:p>
        </w:tc>
      </w:tr>
      <w:tr>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D-MVP-05</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Confirm whether the MVP configuration rows are promoted to production manually and who signs that promotion, given G-13.</w:t>
            </w:r>
          </w:p>
        </w:tc>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Platform engineering</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S-20</w:t>
            </w:r>
          </w:p>
        </w:tc>
      </w:tr>
      <w:tr>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D-MVP-06</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Confirm the retention period for archived files at each hop and who is accountable for expiry.</w:t>
            </w:r>
          </w:p>
        </w:tc>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Information governance</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S-12</w:t>
            </w:r>
          </w:p>
        </w:tc>
      </w:tr>
      <w:tr>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D-MVP-07</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Confirm whether a partial result, leg A proven and leg B not, is an acceptable MVP outcome and what recommendation it supports.</w:t>
            </w:r>
          </w:p>
        </w:tc>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Design Authority</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Before S-01</w:t>
            </w:r>
          </w:p>
        </w:tc>
      </w:tr>
      <w:tr>
        <w:tc>
          <w:tcPr>
            <w:tcW w:type="dxa" w:w="118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D-MVP-08</w:t>
            </w:r>
          </w:p>
        </w:tc>
        <w:tc>
          <w:tcPr>
            <w:tcW w:type="dxa" w:w="4953"/>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Confirm whether the incumbent path is retired after a successful MVP, and if so under what separate governance.</w:t>
            </w:r>
          </w:p>
        </w:tc>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Incumbent service owner</w:t>
            </w:r>
          </w:p>
        </w:tc>
        <w:tc>
          <w:tcPr>
            <w:tcW w:type="dxa" w:w="1585"/>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Post MVP</w:t>
            </w:r>
          </w:p>
        </w:tc>
      </w:tr>
    </w:tbl>
    <w:p>
      <w:pPr>
        <w:spacing w:after="160"/>
      </w:pPr>
    </w:p>
    <w:p>
      <w:pPr>
        <w:pStyle w:val="Heading1"/>
        <w:spacing w:after="140" w:before="360"/>
      </w:pPr>
      <w:r>
        <w:t xml:space="preserve">15.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2"/>
        <w:gridCol w:w="6934"/>
      </w:tblGrid>
      <w:tr>
        <w:trPr>
          <w:tblHeader/>
        </w:trPr>
        <w:tc>
          <w:tcPr>
            <w:tcW w:type="dxa" w:w="2972"/>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Role</w:t>
            </w:r>
          </w:p>
        </w:tc>
        <w:tc>
          <w:tcPr>
            <w:tcW w:type="dxa" w:w="6934"/>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Accountable for</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Integration architect</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This definition, the target design, the engine gap log, the closure report and the recommendation</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Platform engineer</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Runtime placement, configuration rows, promotion, environment readiness</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Security architecture</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Credential sourcing position, transport security confirmation, scanning position</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Network security</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Firewall and allow-list changes for both legs</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Warehouse feed owner, ADR</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Feed approval, test file provision, arrival window and escalation route</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 system owner, NPS</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 endpoint specification and access</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Cross-department liaison</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ONS engagement, endpoint agreement, credential exchange</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Information governance</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Classification, DPIA position, retention</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Service Operations</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Support model acceptance, operational feedback, rollback execution</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Design Authority</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Approval of this definition, adjudication of open decisions, receipt of the closure report</w:t>
            </w:r>
          </w:p>
        </w:tc>
      </w:tr>
    </w:tbl>
    <w:p>
      <w:pPr>
        <w:spacing w:after="160"/>
      </w:pPr>
    </w:p>
    <w:p>
      <w:pPr>
        <w:pStyle w:val="Heading1"/>
        <w:spacing w:after="140" w:before="360"/>
      </w:pPr>
      <w:r>
        <w:t xml:space="preserve">16. Rollback and fallback</w:t>
      </w:r>
    </w:p>
    <w:p>
      <w:pPr>
        <w:pStyle w:val="ListParagraph"/>
        <w:numPr>
          <w:ilvl w:val="0"/>
          <w:numId w:val="7"/>
        </w:numPr>
        <w:spacing w:after="70"/>
      </w:pPr>
      <w:r>
        <w:rPr>
          <w:sz w:val="21"/>
          <w:szCs w:val="21"/>
        </w:rPr>
        <w:t xml:space="preserve">The incumbent UTM and IF and SDES paths remain configured and operable throughout the MVP, including during and after the parallel run.</w:t>
      </w:r>
    </w:p>
    <w:p>
      <w:pPr>
        <w:pStyle w:val="ListParagraph"/>
        <w:numPr>
          <w:ilvl w:val="0"/>
          <w:numId w:val="7"/>
        </w:numPr>
        <w:spacing w:after="70"/>
      </w:pPr>
      <w:r>
        <w:rPr>
          <w:sz w:val="21"/>
          <w:szCs w:val="21"/>
        </w:rPr>
        <w:t xml:space="preserve">During the parallel run the incumbent path is authoritative. The Boomi path is observed only, and its output is reconciled but not consumed downstream.</w:t>
      </w:r>
    </w:p>
    <w:p>
      <w:pPr>
        <w:pStyle w:val="ListParagraph"/>
        <w:numPr>
          <w:ilvl w:val="0"/>
          <w:numId w:val="7"/>
        </w:numPr>
        <w:spacing w:after="70"/>
      </w:pPr>
      <w:r>
        <w:rPr>
          <w:sz w:val="21"/>
          <w:szCs w:val="21"/>
        </w:rPr>
        <w:t xml:space="preserve">At production cutover the rollback trigger is any of: failure to deliver within the agreed arrival window, reconciliation mismatch, ONS rejection, or a security control failure.</w:t>
      </w:r>
    </w:p>
    <w:p>
      <w:pPr>
        <w:pStyle w:val="ListParagraph"/>
        <w:numPr>
          <w:ilvl w:val="0"/>
          <w:numId w:val="7"/>
        </w:numPr>
        <w:spacing w:after="70"/>
      </w:pPr>
      <w:r>
        <w:rPr>
          <w:sz w:val="21"/>
          <w:szCs w:val="21"/>
        </w:rPr>
        <w:t xml:space="preserve">Rollback is the re-enablement of the incumbent job schedule and the disabling of the two configuration rows. It is proven and timed at S-15 before cutover is approved.</w:t>
      </w:r>
    </w:p>
    <w:p>
      <w:pPr>
        <w:pStyle w:val="ListParagraph"/>
        <w:numPr>
          <w:ilvl w:val="0"/>
          <w:numId w:val="7"/>
        </w:numPr>
        <w:spacing w:after="70"/>
      </w:pPr>
      <w:r>
        <w:rPr>
          <w:sz w:val="21"/>
          <w:szCs w:val="21"/>
        </w:rPr>
        <w:t xml:space="preserve">Because the feed is quarterly, a rollback at cutover costs one cycle at most and can be executed inside the normal arrival window without business impact, provided it is detected promptly. This is why SC-06, detection of non-arrival, is a hard criterion.</w:t>
      </w:r>
    </w:p>
    <w:p>
      <w:pPr>
        <w:pStyle w:val="Heading1"/>
        <w:spacing w:after="140" w:before="360"/>
      </w:pPr>
      <w:r>
        <w:t xml:space="preserve">17. What the MVP tells us about the wider programme</w:t>
      </w:r>
    </w:p>
    <w:p>
      <w:pPr>
        <w:spacing w:after="140"/>
        <w:jc w:val="left"/>
      </w:pPr>
      <w:r>
        <w:rPr>
          <w:sz w:val="21"/>
          <w:szCs w:val="21"/>
        </w:rPr>
        <w:t xml:space="preserve">The value of the MVP is not the two flows. It is the calibration it gives to every subsequent onboarding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57"/>
        <w:gridCol w:w="5349"/>
      </w:tblGrid>
      <w:tr>
        <w:trPr>
          <w:tblHeader/>
        </w:trPr>
        <w:tc>
          <w:tcPr>
            <w:tcW w:type="dxa" w:w="4557"/>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Question the programme will be asked</w:t>
            </w:r>
          </w:p>
        </w:tc>
        <w:tc>
          <w:tcPr>
            <w:tcW w:type="dxa" w:w="5349"/>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What the MVP provides</w:t>
            </w:r>
          </w:p>
        </w:tc>
      </w:tr>
      <w:tr>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How long does it take to onboard a file transfer?</w:t>
            </w:r>
          </w:p>
        </w:tc>
        <w:tc>
          <w:tcPr>
            <w:tcW w:type="dxa" w:w="534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 measured split between configuration effort, which is expected to be small, and dependency lead time, which is expected to dominate. SC-13.</w:t>
            </w:r>
          </w:p>
        </w:tc>
      </w:tr>
      <w:tr>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Do we need a developer per interface?</w:t>
            </w:r>
          </w:p>
        </w:tc>
        <w:tc>
          <w:tcPr>
            <w:tcW w:type="dxa" w:w="534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 direct answer, evidenced by the engine gap log. SC-12.</w:t>
            </w:r>
          </w:p>
        </w:tc>
      </w:tr>
      <w:tr>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Can this platform cross a departmental boundary safely?</w:t>
            </w:r>
          </w:p>
        </w:tc>
        <w:tc>
          <w:tcPr>
            <w:tcW w:type="dxa" w:w="534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Leg B evidence, including firewall, allow-list, transport security and acknowledgement. SC-02, SC-11.</w:t>
            </w:r>
          </w:p>
        </w:tc>
      </w:tr>
      <w:tr>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What breaks first at volume?</w:t>
            </w:r>
          </w:p>
        </w:tc>
        <w:tc>
          <w:tcPr>
            <w:tcW w:type="dxa" w:w="534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Nothing. The MVP does not answer this and must not be quoted as if it does. A separate throughput exercise is required.</w:t>
            </w:r>
          </w:p>
        </w:tc>
      </w:tr>
      <w:tr>
        <w:tc>
          <w:tcPr>
            <w:tcW w:type="dxa" w:w="455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What are the real platform constraints?</w:t>
            </w:r>
          </w:p>
        </w:tc>
        <w:tc>
          <w:tcPr>
            <w:tcW w:type="dxa" w:w="534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Written impact statements against G-13, G-14 and G-15 with named owners. SC-17.</w:t>
            </w:r>
          </w:p>
        </w:tc>
      </w:tr>
    </w:tbl>
    <w:p>
      <w:pPr>
        <w:spacing w:after="160"/>
      </w:pPr>
    </w:p>
    <w:p>
      <w:pPr>
        <w:pStyle w:val="Heading1"/>
        <w:spacing w:after="140" w:before="360"/>
      </w:pPr>
      <w:r>
        <w:t xml:space="preserve">18. 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tblHeader/>
        </w:trPr>
        <w:tc>
          <w:tcPr>
            <w:tcW w:type="dxa" w:w="2179"/>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Term</w:t>
            </w:r>
          </w:p>
        </w:tc>
        <w:tc>
          <w:tcPr>
            <w:tcW w:type="dxa" w:w="7727"/>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Meaning</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ADR</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Data warehouse and data preparation zone receiving the feed</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ADR.040</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Feed reference for the inbound Migrant Workers Scan movement</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Configuration row</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A data record consumed by the generic engine process to define an interface, as opposed to a bespoke built component</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Generic engine</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single Boomi process that executes any configured transfer, central to the config over construction principle</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IF server</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Intermediate file server on the current outbound path, labelled as insecure in the source material</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Maestro</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Scheduler orchestrating the existing job chain inside ADR</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MFT</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Managed File Transfer</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MWS</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Migrant Workers Scan</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NPS</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Source system supplying the feed</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ONS</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Office for National Statistics, the external destination</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SDES</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Incumbent secure data exchange service on the outbound path</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UTM</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Incumbent transfer mechanism on the inbound path</w:t>
            </w:r>
          </w:p>
        </w:tc>
      </w:tr>
      <w:tr>
        <w:tc>
          <w:tcPr>
            <w:tcW w:type="dxa" w:w="2179"/>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G-13, G-14, G-15</w:t>
            </w:r>
          </w:p>
        </w:tc>
        <w:tc>
          <w:tcPr>
            <w:tcW w:type="dxa" w:w="7727"/>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Tracked platform gaps: config promotion pipeline, enterprise secrets sourcing, and anti-virus scan ceiling respectively</w:t>
            </w:r>
          </w:p>
        </w:tc>
      </w:tr>
    </w:tbl>
    <w:p>
      <w:pPr>
        <w:spacing w:after="160"/>
      </w:pPr>
    </w:p>
    <w:p>
      <w:pPr>
        <w:pStyle w:val="Heading1"/>
        <w:spacing w:after="140" w:before="360"/>
      </w:pPr>
      <w:r>
        <w:t xml:space="preserve">Annex A. How to use this pack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2"/>
        <w:gridCol w:w="6934"/>
      </w:tblGrid>
      <w:tr>
        <w:trPr>
          <w:tblHeader/>
        </w:trPr>
        <w:tc>
          <w:tcPr>
            <w:tcW w:type="dxa" w:w="2972"/>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Artefact</w:t>
            </w:r>
          </w:p>
        </w:tc>
        <w:tc>
          <w:tcPr>
            <w:tcW w:type="dxa" w:w="6934"/>
            <w:tcBorders>
              <w:top w:val="single" w:color="B1B4B6" w:sz="4"/>
              <w:left w:val="single" w:color="B1B4B6" w:sz="4"/>
              <w:bottom w:val="single" w:color="B1B4B6" w:sz="4"/>
              <w:right w:val="single" w:color="B1B4B6" w:sz="4"/>
            </w:tcBorders>
            <w:shd w:fill="F3F2F1" w:color="auto" w:val="clear"/>
            <w:tcMar>
              <w:top w:type="dxa" w:w="60"/>
              <w:left w:type="dxa" w:w="90"/>
              <w:bottom w:type="dxa" w:w="60"/>
              <w:right w:type="dxa" w:w="90"/>
            </w:tcMar>
          </w:tcPr>
          <w:p>
            <w:r>
              <w:rPr>
                <w:b/>
                <w:bCs/>
                <w:sz w:val="18"/>
                <w:szCs w:val="18"/>
              </w:rPr>
              <w:t xml:space="preserve">Use</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Read the HTML first</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page you are on is the full MVP definition. It is the same content as the Word document, generated from one source file so the two cannot disagree.</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Use the Word document for review</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Circulate the .docx for Design Authority comment. It carries the same section numbering as this page, so comments can be referenced by section number across both.</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Use the workbook to run the MVP</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.xlsx is the working tracker. Each success criterion, dependency, risk and open decision is one row. Add owner names and dates as they are agreed, and status as evidence lands.</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Use the diagram in reviews</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The .drawio file contains two pages, current state and target state. Open it in diagrams.net to edit, or use the viewer link on this page to show it without editing.</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Fill the onboarding specification early</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Section 10 is the question set that becomes the configuration rows. Blank answers there are the usual cause of overrun, so treat completing it as the first real task.</w:t>
            </w:r>
          </w:p>
        </w:tc>
      </w:tr>
      <w:tr>
        <w:tc>
          <w:tcPr>
            <w:tcW w:type="dxa" w:w="2972"/>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Name the owners before starting</w:t>
            </w:r>
          </w:p>
        </w:tc>
        <w:tc>
          <w:tcPr>
            <w:tcW w:type="dxa" w:w="6934"/>
            <w:tcBorders>
              <w:top w:val="single" w:color="B1B4B6" w:sz="4"/>
              <w:left w:val="single" w:color="B1B4B6" w:sz="4"/>
              <w:bottom w:val="single" w:color="B1B4B6" w:sz="4"/>
              <w:right w:val="single" w:color="B1B4B6" w:sz="4"/>
            </w:tcBorders>
            <w:tcMar>
              <w:top w:type="dxa" w:w="60"/>
              <w:left w:type="dxa" w:w="90"/>
              <w:bottom w:type="dxa" w:w="60"/>
              <w:right w:type="dxa" w:w="90"/>
            </w:tcMar>
          </w:tcPr>
          <w:p>
            <w:r>
              <w:rPr>
                <w:sz w:val="18"/>
                <w:szCs w:val="18"/>
              </w:rPr>
              <w:t xml:space="preserve">Section 14 lists eight open decisions. Under the prove it before you promise it principle, work should not start until each has a named owner.</w:t>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5A5F"/>
        <w:sz w:val="16"/>
        <w:szCs w:val="16"/>
      </w:rPr>
      <w:t xml:space="preserve">OFFICIAL   |   v0.1   |   Page </w:t>
    </w:r>
    <w:r>
      <w:rPr>
        <w:color w:val="505A5F"/>
        <w:sz w:val="16"/>
        <w:szCs w:val="16"/>
      </w:rPr>
      <w:fldChar w:fldCharType="begin"/>
      <w:instrText xml:space="preserve">PAGE</w:instrText>
      <w:fldChar w:fldCharType="separate"/>
      <w:fldChar w:fldCharType="end"/>
    </w:r>
    <w:r>
      <w:rPr>
        <w:color w:val="505A5F"/>
        <w:sz w:val="16"/>
        <w:szCs w:val="16"/>
      </w:rPr>
      <w:t xml:space="preserve"> of </w:t>
    </w:r>
    <w:r>
      <w:rPr>
        <w:color w:val="505A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C0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0C0C"/>
      <w:sz w:val="30"/>
      <w:szCs w:val="30"/>
    </w:rPr>
  </w:style>
  <w:style w:type="paragraph" w:styleId="Heading2">
    <w:name w:val="Heading 2"/>
    <w:basedOn w:val="Normal"/>
    <w:next w:val="Normal"/>
    <w:qFormat/>
    <w:rPr>
      <w:rFonts w:ascii="Calibri" w:cs="Calibri" w:eastAsia="Calibri" w:hAnsi="Calibri"/>
      <w:b/>
      <w:bCs/>
      <w:color w:val="1D70B8"/>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d5455a7bdc590dbaab311f5c1626035798ec2f.png"/><Relationship Id="rId9" Type="http://schemas.openxmlformats.org/officeDocument/2006/relationships/image" Target="media/57d9b3d58c5edc82c89e170f6f1c0388e29a76a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 File Transfer on Boomi, Minimum Viable Product Definition</dc:title>
  <dc:creator>Integration Catalogue Bot</dc:creator>
  <dc:description>MVP Candidate: ADR.040 Migrant Workers Scan</dc:description>
  <cp:lastModifiedBy>Un-named</cp:lastModifiedBy>
  <cp:revision>1</cp:revision>
  <dcterms:created xsi:type="dcterms:W3CDTF">2026-09-08T10:59:32.843Z</dcterms:created>
  <dcterms:modified xsi:type="dcterms:W3CDTF">2026-09-08T10:59:32.843Z</dcterms:modified>
</cp:coreProperties>
</file>

<file path=docProps/custom.xml><?xml version="1.0" encoding="utf-8"?>
<Properties xmlns="http://schemas.openxmlformats.org/officeDocument/2006/custom-properties" xmlns:vt="http://schemas.openxmlformats.org/officeDocument/2006/docPropsVTypes"/>
</file>