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2E6CA4"/>
          <w:sz w:val="26"/>
          <w:szCs w:val="26"/>
        </w:rPr>
        <w:t xml:space="preserve">HMRC · Integration Architecture</w:t>
      </w:r>
    </w:p>
    <w:p>
      <w:pPr>
        <w:spacing w:before="200"/>
        <w:jc w:val="center"/>
      </w:pPr>
      <w:r>
        <w:rPr>
          <w:b/>
          <w:bCs/>
          <w:color w:val="1F3A5F"/>
          <w:sz w:val="52"/>
          <w:szCs w:val="52"/>
        </w:rPr>
        <w:t xml:space="preserve">Boomi Managed File Transfer</w:t>
      </w:r>
    </w:p>
    <w:p>
      <w:pPr>
        <w:spacing w:before="60"/>
        <w:jc w:val="center"/>
      </w:pPr>
      <w:r>
        <w:rPr>
          <w:color w:val="1F3A5F"/>
          <w:sz w:val="34"/>
          <w:szCs w:val="34"/>
        </w:rPr>
        <w:t xml:space="preserve">Proof-of-Concept Connectivity &amp; File-Transfer</w:t>
      </w:r>
    </w:p>
    <w:p>
      <w:pPr>
        <w:jc w:val="center"/>
      </w:pPr>
      <w:r>
        <w:rPr>
          <w:color w:val="1F3A5F"/>
          <w:sz w:val="34"/>
          <w:szCs w:val="34"/>
        </w:rPr>
        <w:t xml:space="preserve">Discovery &amp; Readiness Question Set</w:t>
      </w:r>
    </w:p>
    <w:p>
      <w:pPr>
        <w:spacing w:before="500"/>
        <w:jc w:val="center"/>
      </w:pPr>
      <w:r>
        <w:rPr>
          <w:i/>
          <w:iCs/>
          <w:color w:val="5B6B7D"/>
          <w:sz w:val="24"/>
          <w:szCs w:val="24"/>
        </w:rPr>
        <w:t xml:space="preserve">Two proof-of-concept flows:</w:t>
      </w:r>
    </w:p>
    <w:p>
      <w:pPr>
        <w:jc w:val="center"/>
      </w:pPr>
      <w:r>
        <w:rPr>
          <w:color w:val="5B6B7D"/>
          <w:sz w:val="22"/>
          <w:szCs w:val="22"/>
        </w:rPr>
        <w:t xml:space="preserve">POC-1  Quadient (SaaS) → Toxus (SaaS)</w:t>
      </w:r>
    </w:p>
    <w:p>
      <w:pPr>
        <w:jc w:val="center"/>
      </w:pPr>
      <w:r>
        <w:rPr>
          <w:color w:val="5B6B7D"/>
          <w:sz w:val="22"/>
          <w:szCs w:val="22"/>
        </w:rPr>
        <w:t xml:space="preserve">POC-2  Cloud SaaS source → HMRC internal landing zone</w:t>
      </w:r>
    </w:p>
    <w:p>
      <w:pPr>
        <w:spacing w:before="700"/>
        <w:jc w:val="center"/>
      </w:pPr>
      <w:r>
        <w:rPr>
          <w:b/>
          <w:bCs/>
          <w:color w:val="8A5A00"/>
          <w:sz w:val="20"/>
          <w:szCs w:val="20"/>
        </w:rPr>
        <w:t xml:space="preserve">OFFICIAL — Programme Working Document</w:t>
      </w:r>
    </w:p>
    <w:p>
      <w:pPr>
        <w:jc w:val="center"/>
      </w:pPr>
      <w:r>
        <w:rPr>
          <w:color w:val="5B6B7D"/>
          <w:sz w:val="20"/>
          <w:szCs w:val="20"/>
        </w:rPr>
        <w:t xml:space="preserve">v1.0 · 28 July 2026 · Boomi native MFT (Thru)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Purpose &amp; how to use this question set</w:t>
      </w:r>
    </w:p>
    <w:p>
      <w:pPr>
        <w:spacing w:after="120"/>
      </w:pPr>
      <w:r>
        <w:t xml:space="preserve">This document is the discovery checklist to run </w:t>
      </w:r>
      <w:r>
        <w:rPr>
          <w:b/>
          <w:bCs/>
        </w:rPr>
        <w:t xml:space="preserve">before</w:t>
      </w:r>
      <w:r>
        <w:t xml:space="preserve"> building either proof of concept. Its job is to surface every unknown that could stall or invalidate the POC — connectivity, protocol, authentication, security, data, and governance — and to force each open decision to a </w:t>
      </w:r>
      <w:r>
        <w:rPr>
          <w:b/>
          <w:bCs/>
        </w:rPr>
        <w:t xml:space="preserve">named owner</w:t>
      </w:r>
      <w:r>
        <w:t xml:space="preserve"> before work starts, rather than being discovered mid-build.</w:t>
      </w:r>
    </w:p>
    <w:p>
      <w:pPr>
        <w:spacing w:after="120"/>
      </w:pPr>
      <w:r>
        <w:t xml:space="preserve">Two flows are in scope and must be evaluated </w:t>
      </w:r>
      <w:r>
        <w:rPr>
          <w:b/>
          <w:bCs/>
        </w:rPr>
        <w:t xml:space="preserve">independently</w:t>
      </w:r>
      <w:r>
        <w:t xml:space="preserve">: POC-1 is SaaS-to-SaaS (Quadient → Toxus), most likely over the public internet; POC-2 crosses the trust boundary from a cloud SaaS source into the internal landing zone and is the materially harder of the two. The question set is grouped by theme; the per-endpoint appendix (§12) and the decisions register (§11) are the two pages to take into the kick-off.</w:t>
      </w:r>
    </w:p>
    <w:tbl>
      <w:tblPr>
        <w:tblW w:type="dxa" w:w="9360"/>
        <w:tblBorders>
          <w:top w:val="single" w:color="EAF1F8" w:sz="4"/>
          <w:left w:val="single" w:color="2E6CA4" w:sz="24"/>
          <w:bottom w:val="single" w:color="EAF1F8" w:sz="4"/>
          <w:right w:val="single" w:color="EAF1F8" w:sz="4"/>
          <w:insideH w:val="none"/>
          <w:insideV w:val="none"/>
        </w:tblBorders>
      </w:tblPr>
      <w:tblGrid>
        <w:gridCol w:w="9360"/>
      </w:tblGrid>
      <w:tr>
        <w:tc>
          <w:tcPr>
            <w:shd w:fill="F4F8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6CA4"/>
              </w:rPr>
              <w:t xml:space="preserve">How to read the markers</w:t>
            </w:r>
          </w:p>
          <w:p>
            <w:pPr>
              <w:spacing w:after="40"/>
            </w:pPr>
            <w:r>
              <w:t xml:space="preserve">Q  = a question to ask the platform / network / security owner.</w:t>
            </w:r>
          </w:p>
          <w:p>
            <w:pPr>
              <w:spacing w:after="40"/>
            </w:pPr>
            <w:r>
              <w:t xml:space="preserve">★ Decisions register (§11) = an open decision that needs a named owner before build — raised proactively, not deferred.</w:t>
            </w:r>
          </w:p>
          <w:p>
            <w:pPr>
              <w:spacing w:after="40"/>
            </w:pPr>
            <w:r>
              <w:t xml:space="preserve">The single biggest determinant of POC-2 feasibility and timeline is runtime placement + the inbound firewall change. Start those conversations first.</w:t>
            </w:r>
          </w:p>
        </w:tc>
      </w:tr>
    </w:tbl>
    <w:p>
      <w:pPr>
        <w:pStyle w:val="Heading1"/>
        <w:spacing w:after="120" w:before="240"/>
      </w:pPr>
      <w:r>
        <w:t xml:space="preserve">2. POC scope &amp; success criteria</w:t>
      </w:r>
    </w:p>
    <w:p>
      <w:pPr>
        <w:spacing w:after="120"/>
      </w:pPr>
      <w:r>
        <w:t xml:space="preserve">Pin these down first — an undefined pass condition is the most common reason a POC 'succeeds' but proves nothing usable.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single sentence defines “POC passed” for each flow? (e.g. a synthetic file transfers end-to-end, integrity is verified by checksum, and an audit record is produced.)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the goal connectivity only, or must the POC also demonstrate pattern fit (config-over-construction), the security controls, and operational fit (logging, alerting, audit)?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Are the two flows assessed separately, or must POC-2 chain from POC-1? Confirm they are decoupled.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Which environment does each endpoint expose — non-production or production only? Confirm both POCs run in non-prod.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is the time-box and hard exit date, and who owns the overall POC?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evidence pack do stakeholders need to declare a pass (logs, checksums, audit record, screenshots)? Agree the format up front — the evidence is itself a deliverable.</w:t>
      </w:r>
    </w:p>
    <w:p>
      <w:pPr>
        <w:pStyle w:val="Heading1"/>
        <w:spacing w:after="120" w:before="240"/>
      </w:pPr>
      <w:r>
        <w:t xml:space="preserve">3. Endpoints &amp; protocols (ask per endpoint)</w:t>
      </w:r>
    </w:p>
    <w:p>
      <w:pPr>
        <w:spacing w:after="120"/>
      </w:pPr>
      <w:r>
        <w:t xml:space="preserve">Repeat these for each of the four endpoints: </w:t>
      </w:r>
      <w:r>
        <w:rPr>
          <w:b/>
          <w:bCs/>
        </w:rPr>
        <w:t xml:space="preserve">Quadient, Toxus, the cloud SaaS source, and the internal landing zone.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transfer protocol does the endpoint support — SFTP, FTPS, AS2, HTTPS/REST, S3/blob, or a Boomi native MFT client?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Does it act as a server (we connect to it) or a client (it connects to us)? i.e. who initiates the connection?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the model push or pull — do we poll a directory, receive a webhook, or get pushed to?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the endpoint (host/port/URL) a stable static value, or dynamically provisioned?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there a Boomi-native / MFT connector for it, or do we use the generic SFTP / HTTP connector?</w:t>
      </w:r>
    </w:p>
    <w:p>
      <w:pPr>
        <w:pStyle w:val="Heading2"/>
        <w:spacing w:after="90" w:before="200"/>
      </w:pPr>
      <w:r>
        <w:t xml:space="preserve">Platform-specific questions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Quadient — which product and edition (Inspire / Impress / Cloud)? What does it expose for outbound — an SFTP drop, an output-management dispatch, or an API? Does Quadient push, or must we pull?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Toxus — what is the documented ingress mechanism, and are there payload/format constraints on inbound files?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Cloud SaaS source (POC-2) — confirm which platform, its egress mechanism, and whether it can target a private endpoint or only a public one.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Internal landing zone — is it an SFTP server, a file share, an object store (S3/blob), or a directory? Who technically owns it?</w:t>
      </w:r>
    </w:p>
    <w:p>
      <w:pPr>
        <w:pStyle w:val="Heading1"/>
        <w:spacing w:after="120" w:before="240"/>
      </w:pPr>
      <w:r>
        <w:t xml:space="preserve">4. Connectivity &amp; network path</w:t>
      </w:r>
    </w:p>
    <w:p>
      <w:pPr>
        <w:pStyle w:val="Heading2"/>
        <w:spacing w:after="90" w:before="200"/>
      </w:pPr>
      <w:r>
        <w:t xml:space="preserve">POC-1 — SaaS → SaaS (Quadient → Toxus)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Does traffic traverse the public internet, or is a private interconnect available/required?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Does either platform enforce IP allow-listing? If so, we must supply our egress IPs and obtain theirs.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are the static egress IPs of the Boomi runtime (Atom Cloud region vs local Atom), and are they guaranteed stable?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Any data-residency constraint that fixes the runtime region (e.g. UK)?</w:t>
      </w:r>
    </w:p>
    <w:p>
      <w:pPr>
        <w:pStyle w:val="Heading2"/>
        <w:spacing w:after="90" w:before="200"/>
      </w:pPr>
      <w:r>
        <w:t xml:space="preserve">POC-2 — Cloud SaaS → internal landing zone (the hard path)</w:t>
      </w:r>
    </w:p>
    <w:tbl>
      <w:tblPr>
        <w:tblW w:type="dxa" w:w="9360"/>
        <w:tblBorders>
          <w:top w:val="single" w:color="EAF1F8" w:sz="4"/>
          <w:left w:val="single" w:color="B4232B" w:sz="24"/>
          <w:bottom w:val="single" w:color="EAF1F8" w:sz="4"/>
          <w:right w:val="single" w:color="EAF1F8" w:sz="4"/>
          <w:insideH w:val="none"/>
          <w:insideV w:val="none"/>
        </w:tblBorders>
      </w:tblPr>
      <w:tblGrid>
        <w:gridCol w:w="9360"/>
      </w:tblGrid>
      <w:tr>
        <w:tc>
          <w:tcPr>
            <w:shd w:fill="F4F8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232B"/>
              </w:rPr>
              <w:t xml:space="preserve">★ Decision — runtime placement is the critical dependency</w:t>
            </w:r>
          </w:p>
          <w:p>
            <w:pPr>
              <w:spacing w:after="40"/>
            </w:pPr>
            <w:r>
              <w:t xml:space="preserve">To reach an internal landing zone you almost certainly need a local Atom/Molecule inside the network zone, OR a private circuit (VPN / ExpressRoute / Direct Connect / PrivateLink) from the Atom Cloud. Which one is decided here — and it drives feasibility, cost and timeline more than anything else in this document.</w:t>
            </w:r>
          </w:p>
          <w:p>
            <w:pPr>
              <w:spacing w:after="40"/>
            </w:pPr>
            <w:r>
              <w:t xml:space="preserve">Owner: Network / Platform Engineering — resolve before any build.</w:t>
            </w:r>
          </w:p>
        </w:tc>
      </w:tr>
    </w:tbl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Where does the Boomi runtime execute for POC-2 — local Atom in-zone, or Atom Cloud over a private circuit?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Which of the five trust zones is the landing zone in, and what perimeter controls sit in front (firewall, reverse proxy, WAF, ICAP/AV)?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The flow is inbound to the zone — does the direction of connection initiation align with firewall policy? Inbound connections into the estate are typically restricted, so the internal side may need to pull, or a DMZ broker may be required.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there an existing DMZ / landing-zone edge (e.g. an SFTP perimeter) we should target instead of the internal host directly?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Firewall change: what are the source IPs, destination host/port and protocol — who owns the rule, and what is the lead time? (This is usually the critical-path item — start it now.)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DNS — can the runtime resolve the landing-zone host? Is split-horizon DNS in play?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there an egress proxy in the zone, and does it require authentication?</w:t>
      </w:r>
    </w:p>
    <w:p>
      <w:pPr>
        <w:pStyle w:val="Heading1"/>
        <w:spacing w:after="120" w:before="240"/>
      </w:pPr>
      <w:r>
        <w:t xml:space="preserve">5. Authentication &amp; credentials (ask per endpoint)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auth method does the endpoint use — SSH key pair (SFTP), mTLS / client certificate, OAuth2 client-credentials, API key, AS2 certificates, or username/password?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Whose keys/certs are used, and what is the exchange process and lead time (public-key swap, CA-signed vs self-signed, expiry dates)?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For SFTP — do we have the server host-key fingerprint to pin, to prevent MITM?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Where are secrets stored for the POC — Boomi secure vault, or CyberArk PAM? PAM is a flagged platform gap (G-14); confirm it is available, or agree a documented temporary secret store with an exception.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Who owns each credential, and what is the rotation/revocation plan for the POC (including revocation at teardown)?</w:t>
      </w:r>
    </w:p>
    <w:p>
      <w:pPr>
        <w:pStyle w:val="Heading1"/>
        <w:spacing w:after="120" w:before="240"/>
      </w:pPr>
      <w:r>
        <w:t xml:space="preserve">6. Security, data classification &amp; compliance</w:t>
      </w:r>
    </w:p>
    <w:tbl>
      <w:tblPr>
        <w:tblW w:type="dxa" w:w="9360"/>
        <w:tblBorders>
          <w:top w:val="single" w:color="EAF1F8" w:sz="4"/>
          <w:left w:val="single" w:color="B4232B" w:sz="24"/>
          <w:bottom w:val="single" w:color="EAF1F8" w:sz="4"/>
          <w:right w:val="single" w:color="EAF1F8" w:sz="4"/>
          <w:insideH w:val="none"/>
          <w:insideV w:val="none"/>
        </w:tblBorders>
      </w:tblPr>
      <w:tblGrid>
        <w:gridCol w:w="9360"/>
      </w:tblGrid>
      <w:tr>
        <w:tc>
          <w:tcPr>
            <w:shd w:fill="F4F8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232B"/>
              </w:rPr>
              <w:t xml:space="preserve">★ Decision — synthetic data only, especially into the internal zone</w:t>
            </w:r>
          </w:p>
          <w:p>
            <w:pPr>
              <w:spacing w:after="40"/>
            </w:pPr>
            <w:r>
              <w:t xml:space="preserve">For a connectivity POC there is no reason to move real data. Insist on synthetic / anonymised files with no PII or taxpayer data — most critically for POC-2 into the internal zone. Get this stated and owned before a single file moves.</w:t>
            </w:r>
          </w:p>
          <w:p>
            <w:pPr>
              <w:spacing w:after="40"/>
            </w:pPr>
            <w:r>
              <w:t xml:space="preserve">Owner: Data Protection / Information Assurance.</w:t>
            </w:r>
          </w:p>
        </w:tc>
      </w:tr>
    </w:tbl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data is in the sample file? Confirm it is synthetic / anonymised.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is the data classification (OFFICIAL / OFFICIAL-SENSITIVE), and is that classification permitted to traverse SaaS-to-SaaS over the public internet?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Encryption in transit — what TLS version floor and cipher policy is mandated at each hop?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file-level encryption (PGP/GPG) required on top of transport, and who holds the keys?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Encryption at rest — is it required at each hop and in the landing zone?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AV/malware scanning on ingress to the internal zone — via Windows MDE (~250 MB scan limit, flagged gap G-15) or an ICAP service? Is the sample file within the scan limit?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Are DLP controls enforced on the landing zone that could quarantine the file?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a DPIA, security assessment or formal risk acceptance required before any file (even synthetic) crosses into the internal zone, and who signs it?</w:t>
      </w:r>
    </w:p>
    <w:p>
      <w:pPr>
        <w:pStyle w:val="Heading1"/>
        <w:spacing w:after="120" w:before="240"/>
      </w:pPr>
      <w:r>
        <w:t xml:space="preserve">7. File handling &amp; integrity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is the file format, size, encoding and naming convention?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How is completeness detected so a partial file is never processed — trailing sentinel (.done), rename-on-complete, or size-stable polling?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How is integrity verified — is a checksum/hash (SHA-256) captured at source and re-verified at target? Is a manifest provided?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How are duplicates and re-sends handled (idempotency)?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any character-set or line-ending transformation needed between the platforms?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For the POC — a single file, or a small batch to also prove polling/looping?</w:t>
      </w:r>
    </w:p>
    <w:p>
      <w:pPr>
        <w:pStyle w:val="Heading1"/>
        <w:spacing w:after="120" w:before="240"/>
      </w:pPr>
      <w:r>
        <w:t xml:space="preserve">8. Boomi runtime &amp; MFT capability</w:t>
      </w:r>
    </w:p>
    <w:tbl>
      <w:tblPr>
        <w:tblW w:type="dxa" w:w="9360"/>
        <w:tblBorders>
          <w:top w:val="single" w:color="EAF1F8" w:sz="4"/>
          <w:left w:val="single" w:color="8A5A00" w:sz="24"/>
          <w:bottom w:val="single" w:color="EAF1F8" w:sz="4"/>
          <w:right w:val="single" w:color="EAF1F8" w:sz="4"/>
          <w:insideH w:val="none"/>
          <w:insideV w:val="none"/>
        </w:tblBorders>
      </w:tblPr>
      <w:tblGrid>
        <w:gridCol w:w="9360"/>
      </w:tblGrid>
      <w:tr>
        <w:tc>
          <w:tcPr>
            <w:shd w:fill="F4F8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★ Decision — is the POC disposable, or must it demonstrate config-over-construction?</w:t>
            </w:r>
          </w:p>
          <w:p>
            <w:pPr>
              <w:spacing w:after="40"/>
            </w:pPr>
            <w:r>
              <w:t xml:space="preserve">If each transfer is hand-built as a bespoke process, the POC proves connectivity but nothing about the target design. Agree up front whether the POC must map each transfer to a configuration row on the single generic MFT engine — otherwise it validates the wrong thing.</w:t>
            </w:r>
          </w:p>
          <w:p>
            <w:pPr>
              <w:spacing w:after="40"/>
            </w:pPr>
            <w:r>
              <w:t xml:space="preserve">Owner: Integration Architecture.</w:t>
            </w:r>
          </w:p>
        </w:tc>
      </w:tr>
    </w:tbl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Which Boomi runtime and version is used, and is native MFT (Thru-powered) the capability under test, or generic SFTP/HTTP connectors? Be explicit — test the thing you will actually build 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native MFT licensed/entitled in the POC environment?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Does each transfer map to a config row on the generic engine, or is it a throwaway build? (see decision above)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Where is the Atom placed (cloud vs local), and does that match the network path in §4?</w:t>
      </w:r>
    </w:p>
    <w:p>
      <w:pPr>
        <w:pStyle w:val="Heading1"/>
        <w:spacing w:after="120" w:before="240"/>
      </w:pPr>
      <w:r>
        <w:t xml:space="preserve">9. Observability, error handling &amp; operations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Where do success/failure events surface — is Dynatrace wired in for the POC, per the estate standard?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failure alerting configured for the POC?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is the retry/resubmission behaviour on transient failure?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a governance-grade audit trail produced (who/what/when for each transfer)? This is a required evidence artefact.</w:t>
      </w:r>
    </w:p>
    <w:p>
      <w:pPr>
        <w:pStyle w:val="Heading1"/>
        <w:spacing w:after="120" w:before="240"/>
      </w:pPr>
      <w:r>
        <w:t xml:space="preserve">10. Governance, approvals &amp; exit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Is change approval (CAB) required for the firewall/network change into the internal zone, and what is the lead time?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Who are the named approvers — security, network, data protection, and each platform owner?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Who signs off the POC as passed, against the criteria agreed in §2?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6CA4"/>
        </w:rPr>
        <w:t xml:space="preserve">Q  </w:t>
      </w:r>
      <w:r>
        <w:t xml:space="preserve">What is the teardown plan — revoke credentials, remove firewall rules, delete synthetic data — and who owns it?</w:t>
      </w:r>
    </w:p>
    <w:p>
      <w:pPr>
        <w:pStyle w:val="Heading1"/>
        <w:spacing w:after="120" w:before="240"/>
      </w:pPr>
      <w:r>
        <w:t xml:space="preserve">11. Decisions register — owners required before build</w:t>
      </w:r>
    </w:p>
    <w:p>
      <w:pPr>
        <w:spacing w:after="120"/>
      </w:pPr>
      <w:r>
        <w:t xml:space="preserve">Raise these proactively at kick-off. Each needs a named owner and a resolution date before the corresponding build task starts.</w:t>
      </w:r>
    </w:p>
    <w:tbl>
      <w:tblPr>
        <w:tblW w:type="dxa" w:w="9360"/>
        <w:tblBorders>
          <w:top w:val="single" w:color="C4D2E3" w:sz="4"/>
          <w:left w:val="single" w:color="C4D2E3" w:sz="4"/>
          <w:bottom w:val="single" w:color="C4D2E3" w:sz="4"/>
          <w:right w:val="single" w:color="C4D2E3" w:sz="4"/>
          <w:insideH w:val="single" w:color="D5DEEA" w:sz="4"/>
          <w:insideV w:val="single" w:color="D5DEEA" w:sz="4"/>
        </w:tblBorders>
      </w:tblPr>
      <w:tblGrid>
        <w:gridCol w:w="3400"/>
        <w:gridCol w:w="4160"/>
        <w:gridCol w:w="1800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41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matters</w:t>
            </w:r>
          </w:p>
        </w:tc>
        <w:tc>
          <w:tcPr>
            <w:tcW w:type="dxa" w:w="1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Owner (to confirm)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D1 · POC-2 runtime placement (local Atom vs private circuit)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Determines whether the internal zone is reachable at all; drives cost and timeline more than any other item.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Network / Platform</w:t>
            </w:r>
          </w:p>
        </w:tc>
      </w:tr>
      <w:tr>
        <w:tc>
          <w:tcPr>
            <w:tcW w:type="dxa" w:w="340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D2 · Synthetic data only into internal zone</w:t>
            </w:r>
          </w:p>
        </w:tc>
        <w:tc>
          <w:tcPr>
            <w:tcW w:type="dxa" w:w="416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Moving real/PII data in a connectivity POC is unnecessary risk and may block sign-off.</w:t>
            </w:r>
          </w:p>
        </w:tc>
        <w:tc>
          <w:tcPr>
            <w:tcW w:type="dxa" w:w="180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 Protection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D3 · Direction of connection into the zone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Inbound to the estate is usually blocked — may force internal-pull or a DMZ broker.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Network Security</w:t>
            </w:r>
          </w:p>
        </w:tc>
      </w:tr>
      <w:tr>
        <w:tc>
          <w:tcPr>
            <w:tcW w:type="dxa" w:w="340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D4 · Disposable POC vs config-over-construction</w:t>
            </w:r>
          </w:p>
        </w:tc>
        <w:tc>
          <w:tcPr>
            <w:tcW w:type="dxa" w:w="416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If hand-built, the POC proves nothing about the target pattern.</w:t>
            </w:r>
          </w:p>
        </w:tc>
        <w:tc>
          <w:tcPr>
            <w:tcW w:type="dxa" w:w="180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Integration Architecture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D5 · Firewall change lead time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Typically the critical path; must start immediately.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Network</w:t>
            </w:r>
          </w:p>
        </w:tc>
      </w:tr>
      <w:tr>
        <w:tc>
          <w:tcPr>
            <w:tcW w:type="dxa" w:w="340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D6 · AV scan limit (G-15, ~250 MB) vs file size</w:t>
            </w:r>
          </w:p>
        </w:tc>
        <w:tc>
          <w:tcPr>
            <w:tcW w:type="dxa" w:w="416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Oversized files silently bypass or fail scanning at ingress.</w:t>
            </w:r>
          </w:p>
        </w:tc>
        <w:tc>
          <w:tcPr>
            <w:tcW w:type="dxa" w:w="180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Platform Security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D7 · PAM availability for POC secrets (G-14)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If PAM is unavailable, an exception + interim vault must be agreed.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Platform Security</w:t>
            </w:r>
          </w:p>
        </w:tc>
      </w:tr>
      <w:tr>
        <w:tc>
          <w:tcPr>
            <w:tcW w:type="dxa" w:w="340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D8 · Success criteria &amp; evidence pack</w:t>
            </w:r>
          </w:p>
        </w:tc>
        <w:tc>
          <w:tcPr>
            <w:tcW w:type="dxa" w:w="416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Without a defined pass condition the POC cannot be signed off.</w:t>
            </w:r>
          </w:p>
        </w:tc>
        <w:tc>
          <w:tcPr>
            <w:tcW w:type="dxa" w:w="180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POC Owner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12. Appendix — per-endpoint quick-reference grid</w:t>
      </w:r>
    </w:p>
    <w:p>
      <w:pPr>
        <w:spacing w:after="120"/>
      </w:pPr>
      <w:r>
        <w:t xml:space="preserve">Capture one column per endpoint at kick-off. Blank cells are the discovery gaps to close.</w:t>
      </w:r>
    </w:p>
    <w:tbl>
      <w:tblPr>
        <w:tblW w:type="dxa" w:w="9360"/>
        <w:tblBorders>
          <w:top w:val="single" w:color="C4D2E3" w:sz="4"/>
          <w:left w:val="single" w:color="C4D2E3" w:sz="4"/>
          <w:bottom w:val="single" w:color="C4D2E3" w:sz="4"/>
          <w:right w:val="single" w:color="C4D2E3" w:sz="4"/>
          <w:insideH w:val="single" w:color="D5DEEA" w:sz="4"/>
          <w:insideV w:val="single" w:color="D5DEEA" w:sz="4"/>
        </w:tblBorders>
      </w:tblPr>
      <w:tblGrid>
        <w:gridCol w:w="236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3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175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Quadient (src)</w:t>
            </w:r>
          </w:p>
        </w:tc>
        <w:tc>
          <w:tcPr>
            <w:tcW w:type="dxa" w:w="175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Toxus (tgt)</w:t>
            </w:r>
          </w:p>
        </w:tc>
        <w:tc>
          <w:tcPr>
            <w:tcW w:type="dxa" w:w="175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Cloud SaaS (src)</w:t>
            </w:r>
          </w:p>
        </w:tc>
        <w:tc>
          <w:tcPr>
            <w:tcW w:type="dxa" w:w="175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Landing zone (tgt)</w:t>
            </w:r>
          </w:p>
        </w:tc>
      </w:tr>
      <w:tr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Protocol (SFTP/AS2/HTTPS/…)</w:t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6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Server or client?</w:t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Push or pull?</w:t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6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Public or private path?</w:t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Auth method</w:t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6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Key/cert exchange owner</w:t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IP allow-list needed?</w:t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6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Secret store (vault/PAM)</w:t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Env (non-prod/prod)</w:t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6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Named owner</w:t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50"/>
            <w:shd w:fill="F3F7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40"/>
      </w:pPr>
      <w:r>
        <w:rPr>
          <w:i/>
          <w:iCs/>
          <w:color w:val="5B6B7D"/>
          <w:sz w:val="18"/>
          <w:szCs w:val="18"/>
        </w:rPr>
        <w:t xml:space="preserve">Generated 28 July 2026 · Boomi native MFT (Thru) · OFFICIAL — Programme Working Document. Mirrors the published HTML page and is the artefact to circulate for the POC kick-off.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6C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2026-07-28T08:45:22.048Z</dcterms:created>
  <dcterms:modified xsi:type="dcterms:W3CDTF">2026-07-28T08:45:22.048Z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