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B388" w:sz="12"/>
        </w:pBd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olor w:val="6B7280"/>
          <w:sz w:val="18"/>
          <w:szCs w:val="18"/>
        </w:rPr>
        <w:t xml:space="preserve">HMRC INTEGRATION ESTATE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03A2A"/>
          <w:sz w:val="42"/>
          <w:szCs w:val="42"/>
        </w:rPr>
        <w:t xml:space="preserve">Integration Modernisation — Strategic Architecture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3"/>
          <w:szCs w:val="23"/>
        </w:rPr>
        <w:t xml:space="preserve">Turning the five Modernisation Guidelines into a pattern-selection framework and target architecture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Companion to the Integration Pattern Catalogue (iPaaS)  ·  Working paper, v0.1  ·  July 2026</w:t>
      </w:r>
    </w:p>
    <w:p>
      <w:pPr>
        <w:pBdr>
          <w:left w:val="single" w:color="00B388" w:sz="18"/>
        </w:pBdr>
        <w:shd w:fill="EAF6F1" w:color="auto" w:val="clear"/>
        <w:spacing w:after="120" w:before="80" w:line="258"/>
        <w:ind w:left="120"/>
      </w:pPr>
      <w:r>
        <w:rPr>
          <w:rFonts w:ascii="Calibri" w:cs="Calibri" w:eastAsia="Calibri" w:hAnsi="Calibri"/>
          <w:b/>
          <w:bCs/>
          <w:i w:val="false"/>
          <w:iCs w:val="false"/>
          <w:color w:val="00B388"/>
          <w:sz w:val="19"/>
          <w:szCs w:val="19"/>
        </w:rPr>
        <w:t xml:space="preserve">How to read this.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The catalogue’s Integration Modernisation Guidelines (API-First; requirements-driven patterns; preserve async where it adds value; modernise before recreating; adapters for legacy) are correct as principles. This paper does the next step: it turns each principle into concrete architecture and a repeatable pattern-selection framework, and it challenges the two places where the guidelines can be misread in practice — so the guidelines drive design decisions rather than being read and shelved.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03A2A"/>
          <w:sz w:val="30"/>
          <w:szCs w:val="30"/>
        </w:rPr>
        <w:t xml:space="preserve">1.  The five guidelines — operationalised, and challenged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For each guideline: the strategic intent, the architecture that delivers it, the challenge to watch for, and the answer.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470"/>
        <w:gridCol w:w="2380"/>
        <w:gridCol w:w="3050"/>
        <w:gridCol w:w="3460"/>
      </w:tblGrid>
      <w:tr>
        <w:trPr>
          <w:tblHeader/>
        </w:trPr>
        <w:tc>
          <w:tcPr>
            <w:tcW w:type="dxa" w:w="470"/>
            <w:shd w:fill="003A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80"/>
            <w:shd w:fill="003A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Guideline (as written)</w:t>
            </w:r>
          </w:p>
        </w:tc>
        <w:tc>
          <w:tcPr>
            <w:tcW w:type="dxa" w:w="3050"/>
            <w:shd w:fill="003A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Strategic architecture that delivers it</w:t>
            </w:r>
          </w:p>
        </w:tc>
        <w:tc>
          <w:tcPr>
            <w:tcW w:type="dxa" w:w="3460"/>
            <w:shd w:fill="003A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 challenge — and the answer</w:t>
            </w:r>
          </w:p>
        </w:tc>
      </w:tr>
      <w:tr>
        <w:tc>
          <w:tcPr>
            <w:tcW w:type="dxa" w:w="47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G1</w:t>
            </w:r>
          </w:p>
        </w:tc>
        <w:tc>
          <w:tcPr>
            <w:tcW w:type="dxa" w:w="23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API-First: where systems can expose/consume APIs, use synchronous REST as the default pattern (simpler, less middleware, better governance, faster delivery).</w:t>
            </w:r>
          </w:p>
        </w:tc>
        <w:tc>
          <w:tcPr>
            <w:tcW w:type="dxa" w:w="30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Contract-first APIs (OpenAPI) published through a dedicated API gateway with a developer portal, versioning and quotas. Boomi sits behind the gateway for orchestration/transformation; direct API-to-API where no mediation is needed. The gateway + registry is what actually delivers the “visibility, governance, faster delivery” rationale.</w:t>
            </w:r>
          </w:p>
        </w:tc>
        <w:tc>
          <w:tcPr>
            <w:tcW w:type="dxa" w:w="3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Challenge: “API-First” and “synchronous by default” are not the same thing, and conflating them re-introduces the temporal coupling modernisation is meant to remove. Answer: read API-First as contract-first (every capability behind a governed interface — REST via OpenAPI OR events via AsyncAPI). Keep sync REST the default only for interactive request/response with a tight latency budget; hand off explicitly to G3 for the async cases. Also honour “reduced middleware” with a gate: don’t insert the iPaaS where no orchestration/transformation/mediation adds value.</w:t>
            </w:r>
          </w:p>
        </w:tc>
      </w:tr>
      <w:tr>
        <w:tc>
          <w:tcPr>
            <w:tcW w:type="dxa" w:w="47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G2</w:t>
            </w:r>
          </w:p>
        </w:tc>
        <w:tc>
          <w:tcPr>
            <w:tcW w:type="dxa" w:w="238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Requirements Drive Patterns: choose patterns from business/technical requirements (availability, response time, reliability, consumer scalability, number of consumers, NFRs) — not legacy constraints.</w:t>
            </w:r>
          </w:p>
        </w:tc>
        <w:tc>
          <w:tcPr>
            <w:tcW w:type="dxa" w:w="305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published pattern-selection framework (Section 2 + decision tree) that maps those exact six requirement dimensions to a canonical pattern. Requirements are captured once per interface and drive the choice deterministically, so the decision is reviewable and consistent across teams.</w:t>
            </w:r>
          </w:p>
        </w:tc>
        <w:tc>
          <w:tcPr>
            <w:tcW w:type="dxa" w:w="346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Challenge: “Number of consumers” keeps appearing as a lead selection criterion, but a single consumer can still need async (long-running, differing availability, guaranteed delivery). Answer: make coupling and delivery semantics the primary axis; treat consumer count as secondary. The framework encodes this so the mistake can’t be made by default.</w:t>
            </w:r>
          </w:p>
        </w:tc>
      </w:tr>
      <w:tr>
        <w:tc>
          <w:tcPr>
            <w:tcW w:type="dxa" w:w="47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G3</w:t>
            </w:r>
          </w:p>
        </w:tc>
        <w:tc>
          <w:tcPr>
            <w:tcW w:type="dxa" w:w="23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Preserve Asynchronous Where It Adds Value: async/event remains valid for differing availability windows, long-running processing, guaranteed delivery, multiple consumers, loose coupling. Use modern messaging, not recreated WebMethods pub/sub.</w:t>
            </w:r>
          </w:p>
        </w:tc>
        <w:tc>
          <w:tcPr>
            <w:tcW w:type="dxa" w:w="30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modern event backbone (log-based streaming: replay, partitioned ordering, at-least-once) with AsyncAPI contracts, idempotent consumers, DLQ and replay. Boomi Event Streams for integration-scoped eventing; a dedicated broker where many non-Boomi systems consume the fabric.</w:t>
            </w:r>
          </w:p>
        </w:tc>
        <w:tc>
          <w:tcPr>
            <w:tcW w:type="dxa" w:w="3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Challenge: “don’t recreate WebMethods pub/sub” is easy to say and easy to violate — teams reach for queue/JMS habits (broker-owned routing, non-idempotent consumers). Answer: adopt streaming semantics deliberately (consumers own idempotency and offset; ordering only within a partition key; replay is a first-class operation), not a like-for-like port of the old broker.</w:t>
            </w:r>
          </w:p>
        </w:tc>
      </w:tr>
      <w:tr>
        <w:tc>
          <w:tcPr>
            <w:tcW w:type="dxa" w:w="47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G4</w:t>
            </w:r>
          </w:p>
        </w:tc>
        <w:tc>
          <w:tcPr>
            <w:tcW w:type="dxa" w:w="238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Modernise Interfaces Before Recreating Them: assess whether a legacy interface can become an API or event before migrating it; modernise the pattern, don’t just move it.</w:t>
            </w:r>
          </w:p>
        </w:tc>
        <w:tc>
          <w:tcPr>
            <w:tcW w:type="dxa" w:w="305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 Interface Modernisation Funnel (Section 4): every legacy interface passes a gate — API? → event? → otherwise adapter — inside a Strangler Fig migration that retires legacy incrementally behind stable strategic contracts.</w:t>
            </w:r>
          </w:p>
        </w:tc>
        <w:tc>
          <w:tcPr>
            <w:tcW w:type="dxa" w:w="346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Challenge: assessment can stall delivery (“analysis paralysis”), and a lift-and-shift then happens anyway under deadline pressure. Answer: time-box the assessment with a defined default — if it can’t be an API/event within the box, ship an adapter with a recorded sunset trigger. Migration never blocks; the debt is explicit.</w:t>
            </w:r>
          </w:p>
        </w:tc>
      </w:tr>
      <w:tr>
        <w:tc>
          <w:tcPr>
            <w:tcW w:type="dxa" w:w="47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G5</w:t>
            </w:r>
          </w:p>
        </w:tc>
        <w:tc>
          <w:tcPr>
            <w:tcW w:type="dxa" w:w="23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 Adapters to Integrate with Legacy: systems that can’t adopt strategic standards operate through OOTB or custom adapters that isolate legacy protocols, translate to strategic APIs/events, and are transitional where possible.</w:t>
            </w:r>
          </w:p>
        </w:tc>
        <w:tc>
          <w:tcPr>
            <w:tcW w:type="dxa" w:w="30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 Anti-Corruption Layer (ACL): the adapter owns protocol mediation and model translation so legacy shapes never leak into strategic contracts. In Boomi this is the thin HTTP boundary to WebMethods/ChRIS (generic HTTP client, not a native legacy connector) plus connector-based adapters.</w:t>
            </w:r>
          </w:p>
        </w:tc>
        <w:tc>
          <w:tcPr>
            <w:tcW w:type="dxa" w:w="34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Challenge: “transitional where possible” adapters routinely become permanent load-bearing infrastructure. Answer: every adapter carries an owner and a documented sunset trigger (the event/date that retires it); adapter debt is tracked on a register and reviewed, so “transitional” stays true.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03A2A"/>
          <w:sz w:val="30"/>
          <w:szCs w:val="30"/>
        </w:rPr>
        <w:t xml:space="preserve">2.  Pattern-selection framework (operationalising G2)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Capture the requirements once, then apply the decision logic. The accompanying draw.io diagram renders this as a decision tree; the outputs are the canonical patterns K1–K8 from the strategic companion.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0B388"/>
          <w:sz w:val="24"/>
          <w:szCs w:val="24"/>
        </w:rPr>
        <w:t xml:space="preserve">2.1  Decision logic (in order)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Can the system expose/consume an API or event today?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If not, wrap it in an Adapter / Anti-Corruption Layer (G5) and re-enter the flow through the adapter’s strategic interface.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Does the initiator need a response?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→ Event Publish (K1). If multiple consumers, loose coupling or guaranteed delivery apply (G3) → event backbone pub/sub (K1/K2).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Response needed — is it available within an interactive budget (~≤2s) with the caller blocking?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Yes → Sync API (K5, the API-First default). If it needs data from several back-ends → serve from a CQRS read model (K6), not live fan-out. No (long-running, seconds–24hrs) → Async Request–Reply (K3): 202 Accepted + status resource, webhook or poll.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Cross-cutting overrides.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state change that must reliably emit an event → Reliable Publish via Outbox (K4). Bulk / scheduled / file movement → Batch (K7) or MFT (K8), both flagged bridge → sunset.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0B388"/>
          <w:sz w:val="24"/>
          <w:szCs w:val="24"/>
        </w:rPr>
        <w:t xml:space="preserve">2.2  Requirement → pattern mapping (the six G2 dimensions)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shd w:fill="003A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 dimension</w:t>
            </w:r>
          </w:p>
        </w:tc>
        <w:tc>
          <w:tcPr>
            <w:tcW w:type="dxa" w:w="3560"/>
            <w:shd w:fill="003A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3400"/>
            <w:shd w:fill="003A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Pattern implication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Availability requirements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Initiator and target have differing availability windows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Async / event for temporal decoupling (K1/K2/K3); never hard-couple a sync call to an intermittently available target</w:t>
            </w:r>
          </w:p>
        </w:tc>
      </w:tr>
      <w:tr>
        <w:tc>
          <w:tcPr>
            <w:tcW w:type="dxa" w:w="240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356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Tight, interactive (caller blocks)</w:t>
            </w:r>
          </w:p>
        </w:tc>
        <w:tc>
          <w:tcPr>
            <w:tcW w:type="dxa" w:w="340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Sync API (K5); if latency budget is at risk due to aggregation, use a read model (K6)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Tolerant / long-running (secs–24hrs)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Async Request–Reply (K3): 202 + status resource; webhook or poll</w:t>
            </w:r>
          </w:p>
        </w:tc>
      </w:tr>
      <w:tr>
        <w:tc>
          <w:tcPr>
            <w:tcW w:type="dxa" w:w="240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356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Guaranteed delivery / no loss on failure</w:t>
            </w:r>
          </w:p>
        </w:tc>
        <w:tc>
          <w:tcPr>
            <w:tcW w:type="dxa" w:w="340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 backbone + Outbox (K4) + DLQ + replay; idempotent consumers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Consumer scalability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Many or highly variable consumers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Pub/sub fan-out on the event backbone (K1/K2)</w:t>
            </w:r>
          </w:p>
        </w:tc>
      </w:tr>
      <w:tr>
        <w:tc>
          <w:tcPr>
            <w:tcW w:type="dxa" w:w="240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 of consumers</w:t>
            </w:r>
          </w:p>
        </w:tc>
        <w:tc>
          <w:tcPr>
            <w:tcW w:type="dxa" w:w="356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Several consumers need the same information</w:t>
            </w:r>
          </w:p>
        </w:tc>
        <w:tc>
          <w:tcPr>
            <w:tcW w:type="dxa" w:w="340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 backbone (G3). Note: a single consumer does NOT force sync — use semantics, not count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Non-functional (NFRs)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Security, audit, throughput, latency SLA, traceability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Gateway (auth/throttle/quota) + cross-cutting spine: correlation ID, tracing, DLQ, idempotency</w:t>
            </w:r>
          </w:p>
        </w:tc>
      </w:tr>
    </w:tbl>
    <w:p>
      <w:pPr>
        <w:pBdr>
          <w:left w:val="single" w:color="9A6A00" w:sz="18"/>
        </w:pBdr>
        <w:shd w:fill="EAF6F1" w:color="auto" w:val="clear"/>
        <w:spacing w:after="120" w:before="80" w:line="258"/>
        <w:ind w:left="120"/>
      </w:pPr>
      <w:r>
        <w:rPr>
          <w:rFonts w:ascii="Calibri" w:cs="Calibri" w:eastAsia="Calibri" w:hAnsi="Calibri"/>
          <w:b/>
          <w:bCs/>
          <w:i w:val="false"/>
          <w:iCs w:val="false"/>
          <w:color w:val="9A6A00"/>
          <w:sz w:val="19"/>
          <w:szCs w:val="19"/>
        </w:rPr>
        <w:t xml:space="preserve">Guardrail.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If two dimensions point in different directions (e.g. tight response time but an intermittently available target), that conflict is the design decision to record — usually resolved by an async request–reply with a read model, not by forcing a fragile synchronous call.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03A2A"/>
          <w:sz w:val="30"/>
          <w:szCs w:val="30"/>
        </w:rPr>
        <w:t xml:space="preserve">3.  How the guidelines land on the target architecture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guidelines map cleanly onto the tiered target estate. Each tier is owned by the technology best suited to it; Boomi is a first-class citizen of the middle tiers, not the whole stack.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1750"/>
        <w:gridCol w:w="2400"/>
        <w:gridCol w:w="5210"/>
      </w:tblGrid>
      <w:tr>
        <w:trPr>
          <w:tblHeader/>
        </w:trPr>
        <w:tc>
          <w:tcPr>
            <w:tcW w:type="dxa" w:w="1750"/>
            <w:shd w:fill="003A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Guideline</w:t>
            </w:r>
          </w:p>
        </w:tc>
        <w:tc>
          <w:tcPr>
            <w:tcW w:type="dxa" w:w="2400"/>
            <w:shd w:fill="003A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 it drives</w:t>
            </w:r>
          </w:p>
        </w:tc>
        <w:tc>
          <w:tcPr>
            <w:tcW w:type="dxa" w:w="5210"/>
            <w:shd w:fill="003A2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lives there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G1 API-First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Channel / Experience</w:t>
            </w:r>
          </w:p>
        </w:tc>
        <w:tc>
          <w:tcPr>
            <w:tcW w:type="dxa" w:w="52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Dedicated API gateway (APIM / Apigee / Kong / AWS API GW): OAuth2/mTLS, throttling, quotas, dev portal, versioning. Contract-first OpenAPI.</w:t>
            </w:r>
          </w:p>
        </w:tc>
      </w:tr>
      <w:tr>
        <w:tc>
          <w:tcPr>
            <w:tcW w:type="dxa" w:w="175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G1 / G2</w:t>
            </w:r>
          </w:p>
        </w:tc>
        <w:tc>
          <w:tcPr>
            <w:tcW w:type="dxa" w:w="240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Integration / Orchestration</w:t>
            </w:r>
          </w:p>
        </w:tc>
        <w:tc>
          <w:tcPr>
            <w:tcW w:type="dxa" w:w="521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Boomi iPaaS: orchestration, transformation, enrichment, routing, protocol mediation. Inserted only where mediation adds value.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G3 Async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 backbone</w:t>
            </w:r>
          </w:p>
        </w:tc>
        <w:tc>
          <w:tcPr>
            <w:tcW w:type="dxa" w:w="52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Modern broker (Event Streams integration-scoped, or Kafka/Solace/Event Hubs enterprise): durable pub/sub, replay, partitioned ordering.</w:t>
            </w:r>
          </w:p>
        </w:tc>
      </w:tr>
      <w:tr>
        <w:tc>
          <w:tcPr>
            <w:tcW w:type="dxa" w:w="175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G2 / G3</w:t>
            </w:r>
          </w:p>
        </w:tc>
        <w:tc>
          <w:tcPr>
            <w:tcW w:type="dxa" w:w="240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/ Read-model</w:t>
            </w:r>
          </w:p>
        </w:tc>
        <w:tc>
          <w:tcPr>
            <w:tcW w:type="dxa" w:w="521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CQRS read projections + DB-backed cache with TTL and event-driven invalidation — turns cross-back-end reads into a fast local query.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G4 / G5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Legacy coexistence</w:t>
            </w:r>
          </w:p>
        </w:tc>
        <w:tc>
          <w:tcPr>
            <w:tcW w:type="dxa" w:w="52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WebMethods IS / ChRIS behind a thin HTTP boundary and Anti-Corruption adapters; strangler-fig sunset path.</w:t>
            </w:r>
          </w:p>
        </w:tc>
      </w:tr>
      <w:tr>
        <w:tc>
          <w:tcPr>
            <w:tcW w:type="dxa" w:w="175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</w:t>
            </w:r>
          </w:p>
        </w:tc>
        <w:tc>
          <w:tcPr>
            <w:tcW w:type="dxa" w:w="240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Cross-cutting spine</w:t>
            </w:r>
          </w:p>
        </w:tc>
        <w:tc>
          <w:tcPr>
            <w:tcW w:type="dxa" w:w="5210"/>
            <w:shd w:fill="F3F6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Idempotency, Outbox, Saga/compensation, correlation + tracing, DLQ + replay, schema/contract governance, security &amp; audit.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03A2A"/>
          <w:sz w:val="30"/>
          <w:szCs w:val="30"/>
        </w:rPr>
        <w:t xml:space="preserve">4.  Interface Modernisation Funnel (G4) and the Adapter / ACL (G5)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0B388"/>
          <w:sz w:val="24"/>
          <w:szCs w:val="24"/>
        </w:rPr>
        <w:t xml:space="preserve">4.1  The funnel — applied to every legacy interface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Can it be a strategic API?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If the system can expose/consume a contract-first REST API → modernise to K5 (or K3 if long-running). Preferred outcome under G1.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If not an API, can it be an event?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If the interaction fits G3 (loose coupling, guaranteed delivery, multiple consumers, differing availability) → modernise to K1/K2 on the event backbone.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If neither, adapt it.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Wrap the legacy interface in an Adapter / ACL (K-Adapter) that exposes a strategic API or event outward while speaking the legacy protocol inward. Record a sunset trigger.</w:t>
      </w:r>
    </w:p>
    <w:p>
      <w:pPr>
        <w:pBdr>
          <w:left w:val="single" w:color="003A2A" w:sz="18"/>
        </w:pBdr>
        <w:shd w:fill="EAF6F1" w:color="auto" w:val="clear"/>
        <w:spacing w:after="120" w:before="80" w:line="258"/>
        <w:ind w:left="120"/>
      </w:pPr>
      <w:r>
        <w:rPr>
          <w:rFonts w:ascii="Calibri" w:cs="Calibri" w:eastAsia="Calibri" w:hAnsi="Calibri"/>
          <w:b/>
          <w:bCs/>
          <w:i w:val="false"/>
          <w:iCs w:val="false"/>
          <w:color w:val="003A2A"/>
          <w:sz w:val="19"/>
          <w:szCs w:val="19"/>
        </w:rPr>
        <w:t xml:space="preserve">Anti-lift-and-shift rule.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An interface is only re-created as-is on the new platform when the funnel has explicitly rejected both API and event modernisation and an adapter is not viable. That rejection is documented against the pattern — the default is to modernise, not to move.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0B388"/>
          <w:sz w:val="24"/>
          <w:szCs w:val="24"/>
        </w:rPr>
        <w:t xml:space="preserve">4.2  Adapter / Anti-Corruption Layer — design rules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Isolate legacy protocols from consumers: consumers see only strategic APIs/events, never SOAP/WebMethods/ChRIS specifics.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Translate between legacy models and strategic contracts inside the adapter; legacy field shapes must not leak into canonical schemas.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Keep the crossing thin: one sanctioned boundary (generic HTTP client to WebMethods IS), not a native legacy connector — protocol-level coupling only.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Treat as transitional: every adapter has an owner, a sunset trigger, and a line on the adapter-debt register.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03A2A"/>
          <w:sz w:val="30"/>
          <w:szCs w:val="30"/>
        </w:rPr>
        <w:t xml:space="preserve">5.  Governance guardrails and next moves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Publish the pattern-selection framework (2.1 + 2.2 + the decision tree) as the mandated route to choosing a pattern — so G2 is enforced, not aspirational.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Add an “API-First, not sync-first” note to G1: default sync for interactive request/response; explicit hand-off to G3 for async triggers; a “does this need the iPaaS?” gate for G1’s reduced-middleware aim.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Adopt AsyncAPI alongside OpenAPI so events are first-class “APIs” under the API-First regime.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Stand up the adapter-debt register with sunset triggers, and review it each governance cycle so G5 adapters stay transitional.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Formalise K3 (Async Request–Reply: 202 + status resource) and K4 (Outbox) as reference patterns — these are where G3 reliability is won or lost.</w:t>
      </w:r>
    </w:p>
    <w:p>
      <w:pPr>
        <w:pBdr>
          <w:top w:val="single" w:color="00B388" w:sz="8"/>
        </w:pBdr>
        <w:spacing w:before="26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The guidelines are sound; the value is in making them operational and testable. Where a specific flow contradicts a guideline, record the exception against the pattern — a documented exception is itself good governance.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6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280"/>
        <w:sz w:val="15"/>
        <w:szCs w:val="15"/>
      </w:rPr>
      <w:t xml:space="preserve">Working paper v0.1 · July 2026 · OFFICIAL — for internal architecture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280"/>
        <w:sz w:val="16"/>
        <w:szCs w:val="16"/>
      </w:rPr>
      <w:t xml:space="preserve">HMRC · Integration Pattern Catalogue (iPaaS) — Modernisation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00B3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00B38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Modernisation — Strategic Architecture</dc:title>
  <dc:creator>HMRC Boomi Catalogue</dc:creator>
  <dc:description>Strategic architecture derived from the Integration Modernisation Guidelines</dc:description>
  <cp:lastModifiedBy>Un-named</cp:lastModifiedBy>
  <cp:revision>1</cp:revision>
  <dcterms:created xsi:type="dcterms:W3CDTF">2026-07-01T13:13:18.527Z</dcterms:created>
  <dcterms:modified xsi:type="dcterms:W3CDTF">2026-07-01T13:13:18.541Z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