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rFonts w:ascii="Calibri" w:cs="Calibri" w:eastAsia="Calibri" w:hAnsi="Calibri"/>
          <w:b/>
          <w:bCs/>
          <w:color w:val="1F3A5F"/>
          <w:sz w:val="96"/>
          <w:szCs w:val="96"/>
        </w:rPr>
        <w:t xml:space="preserve">HMRC</w:t>
      </w:r>
    </w:p>
    <w:p>
      <w:pPr>
        <w:pBdr>
          <w:bottom w:val="single" w:color="2E6CA4" w:sz="12"/>
        </w:pBdr>
        <w:spacing w:after="300" w:before="60"/>
      </w:pPr>
    </w:p>
    <w:p>
      <w:pPr>
        <w:spacing w:after="400"/>
      </w:pPr>
      <w:r>
        <w:rPr>
          <w:rFonts w:ascii="Calibri" w:cs="Calibri" w:eastAsia="Calibri" w:hAnsi="Calibri"/>
          <w:color w:val="2E6CA4"/>
          <w:sz w:val="34"/>
          <w:szCs w:val="34"/>
        </w:rPr>
        <w:t xml:space="preserve">MFT — Platform Requirements &amp; Capability Notes</w:t>
      </w:r>
    </w:p>
    <w:p>
      <w:pPr>
        <w:spacing w:after="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Version: v1.0</w:t>
      </w:r>
    </w:p>
    <w:p>
      <w:pPr>
        <w:spacing w:after="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Date: 27 July 2026</w:t>
      </w:r>
    </w:p>
    <w:p>
      <w:pPr>
        <w:spacing w:after="4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Owner: Integration Architecture</w:t>
      </w:r>
    </w:p>
    <w:p>
      <w:pPr>
        <w:spacing w:after="40" w:line="276"/>
      </w:pP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Classification: OFFICIAL — Programme Working Document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A5F"/>
        </w:rPr>
        <w:t xml:space="preserve">Purpose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note captures a discrete set of platform requirements and capabilities for the Managed File Transfer (MFT) service on Boomi, split out as a standalone reference. Each point is stated as a working position; owners are named so any remaining confirmation sits with an accountable party. These points are also reflected in the Design Considerations section of the main MFT capabilities document.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A5F"/>
        </w:rPr>
        <w:t xml:space="preserve">Summary</w:t>
      </w:r>
    </w:p>
    <w:tbl>
      <w:tblPr>
        <w:tblW w:type="dxa" w:w="8840"/>
        <w:tblBorders>
          <w:top w:val="single" w:color="C9D4E0" w:sz="4"/>
          <w:left w:val="single" w:color="C9D4E0" w:sz="4"/>
          <w:bottom w:val="single" w:color="C9D4E0" w:sz="4"/>
          <w:right w:val="single" w:color="C9D4E0" w:sz="4"/>
          <w:insideH w:val="single" w:color="C9D4E0" w:sz="4"/>
          <w:insideV w:val="single" w:color="C9D4E0" w:sz="4"/>
        </w:tblBorders>
      </w:tblPr>
      <w:tblGrid>
        <w:gridCol w:w="2500"/>
        <w:gridCol w:w="4640"/>
        <w:gridCol w:w="1700"/>
      </w:tblGrid>
      <w:tr>
        <w:trPr>
          <w:tblHeader/>
        </w:trPr>
        <w:tc>
          <w:tcPr>
            <w:tcW w:type="dxa" w:w="25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64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Position</w:t>
            </w:r>
          </w:p>
        </w:tc>
        <w:tc>
          <w:tcPr>
            <w:tcW w:type="dxa" w:w="17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Real-time in-flight scanning</w:t>
            </w:r>
          </w:p>
        </w:tc>
        <w:tc>
          <w:tcPr>
            <w:tcW w:type="dxa" w:w="46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Every file moving through the service is scanned in real time. Malware and viruses are detected before delivery, not after.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Security Architecture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Automatic quarantine</w:t>
            </w:r>
          </w:p>
        </w:tc>
        <w:tc>
          <w:tcPr>
            <w:tcW w:type="dxa" w:w="464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Infected files are automatically quarantined — the transfer is stopped and flagged rather than delivered.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Security / Operations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AV scan maximum file size — 250MB (Windows MDE)</w:t>
            </w:r>
          </w:p>
        </w:tc>
        <w:tc>
          <w:tcPr>
            <w:tcW w:type="dxa" w:w="46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AV scanning via Windows MDE applies up to a 250MB maximum file size. A handling path is required for files above this limit.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Security Architecture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Encryption at rest (file store)</w:t>
            </w:r>
          </w:p>
        </w:tc>
        <w:tc>
          <w:tcPr>
            <w:tcW w:type="dxa" w:w="464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Files at rest in the platform file store are encrypted.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Security Architecture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Dynatrace</w:t>
            </w:r>
          </w:p>
        </w:tc>
        <w:tc>
          <w:tcPr>
            <w:tcW w:type="dxa" w:w="46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Observability is provided through Dynatrace, using the existing in-house instance.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Platform Engineering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Departmental NRS</w:t>
            </w:r>
          </w:p>
        </w:tc>
        <w:tc>
          <w:tcPr>
            <w:tcW w:type="dxa" w:w="464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Integrate with the departmental Notification &amp; Reporting Service (NRS). The platform's out-of-the-box in-house NRS is available but is not for current use.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Integration Architecture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Out-of-the-box (OOTB)</w:t>
            </w:r>
          </w:p>
        </w:tc>
        <w:tc>
          <w:tcPr>
            <w:tcW w:type="dxa" w:w="46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Standard protocols and connectors are used out of the box rather than bespoke builds, consistent with config-over-construction.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Integration Architecture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~1,200 APIs, UI-less consumption</w:t>
            </w:r>
          </w:p>
        </w:tc>
        <w:tc>
          <w:tcPr>
            <w:tcW w:type="dxa" w:w="464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The platform exposes on the order of 1,200 APIs that can be consumed directly without the UI, enabling full headless / programmatic operation.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Product / Integration Architecture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A5F"/>
        </w:rPr>
        <w:t xml:space="preserve">Detail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6CA4"/>
        </w:rPr>
        <w:t xml:space="preserve">1. Malware &amp; Anti-Virus Scanning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Real-time in-flight scanning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Every file moving through the service is scanned in real time. Malware and viruses are detected before delivery, not after.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Owner: Security Architecture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Automatic quarantine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Infected files are automatically quarantined — the transfer is stopped and flagged rather than delivered.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Owner: Security / Operations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AV scan maximum file size — 250MB (Windows MDE)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AV scanning via Windows MDE applies up to a 250MB maximum file size. A handling path is required for files above this limit.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Owner: Security Architecture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6CA4"/>
        </w:rPr>
        <w:t xml:space="preserve">2. Security Controls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Encryption at rest (file store)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Files at rest in the platform file store are encrypted.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Owner: Security Architecture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6CA4"/>
        </w:rPr>
        <w:t xml:space="preserve">3. Observability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Dynatrace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Observability is provided through Dynatrace, using the existing in-house instance.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Owner: Platform Engineering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6CA4"/>
        </w:rPr>
        <w:t xml:space="preserve">4. Notification &amp; Reporting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Departmental NRS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Integrate with the departmental Notification &amp; Reporting Service (NRS). The platform's out-of-the-box in-house NRS is available but is not for current use.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Owner: Integration Architecture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6CA4"/>
        </w:rPr>
        <w:t xml:space="preserve">5. Protocols &amp; Connectors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Out-of-the-box (OOTB)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Standard protocols and connectors are used out of the box rather than bespoke builds, consistent with config-over-construction.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Owner: Integration Architecture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6CA4"/>
        </w:rPr>
        <w:t xml:space="preserve">6. Headless Architecture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~1,200 APIs, UI-less consumption —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 platform exposes on the order of 1,200 APIs that can be consumed directly without the UI, enabling full headless / programmatic operation.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Owner: Product / Integration Architecture</w:t>
      </w:r>
    </w:p>
    <w:sectPr>
      <w:headerReference w:type="default" r:id="rId7"/>
      <w:footerReference w:type="default" r:id="rId8"/>
      <w:pgSz w:w="11906" w:h="16838" w:orient="portrait"/>
      <w:pgMar w:top="1180" w:right="1200" w:bottom="11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9BAF"/>
        <w:sz w:val="15"/>
        <w:szCs w:val="15"/>
      </w:rPr>
      <w:t xml:space="preserve">OFFICIAL — Programme Working Document   |   v1.0   |   Page </w:t>
    </w:r>
    <w:r>
      <w:rPr>
        <w:rFonts w:ascii="Calibri" w:cs="Calibri" w:eastAsia="Calibri" w:hAnsi="Calibri"/>
        <w:color w:val="8A9BA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9BAF"/>
        <w:sz w:val="15"/>
        <w:szCs w:val="15"/>
      </w:rPr>
      <w:t xml:space="preserve"> of </w:t>
    </w:r>
    <w:r>
      <w:rPr>
        <w:rFonts w:ascii="Calibri" w:cs="Calibri" w:eastAsia="Calibri" w:hAnsi="Calibri"/>
        <w:color w:val="8A9BAF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4E0" w:sz="4"/>
      </w:pBdr>
      <w:spacing w:after="0"/>
      <w:jc w:val="right"/>
    </w:pPr>
    <w:r>
      <w:rPr>
        <w:rFonts w:ascii="Calibri" w:cs="Calibri" w:eastAsia="Calibri" w:hAnsi="Calibri"/>
        <w:color w:val="8A9BAF"/>
        <w:sz w:val="15"/>
        <w:szCs w:val="15"/>
      </w:rPr>
      <w:t xml:space="preserve">HMRC — MFT — Platform Requirements &amp; Capability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6C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HMRC</dc:title>
  <dc:creator>Integration Catalogue Bot</dc:creator>
  <dc:description>MFT — Platform Requirements &amp; Capability Notes</dc:description>
  <cp:lastModifiedBy>Un-named</cp:lastModifiedBy>
  <cp:revision>1</cp:revision>
  <dcterms:created xsi:type="dcterms:W3CDTF">2026-07-27T10:19:15.993Z</dcterms:created>
  <dcterms:modified xsi:type="dcterms:W3CDTF">2026-07-27T10:19:16.019Z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