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B388" w:sz="12"/>
        </w:pBdr>
        <w:spacing w:after="0"/>
      </w:pPr>
      <w:r>
        <w:rPr>
          <w:rFonts w:ascii="Calibri" w:cs="Calibri" w:eastAsia="Calibri" w:hAnsi="Calibri"/>
          <w:b/>
          <w:bCs/>
          <w:i w:val="false"/>
          <w:iCs w:val="false"/>
          <w:color w:val="6B7280"/>
          <w:sz w:val="18"/>
          <w:szCs w:val="18"/>
        </w:rPr>
        <w:t xml:space="preserve">HMRC INTEGRATION ESTATE</w:t>
      </w:r>
    </w:p>
    <w:p>
      <w:pPr>
        <w:spacing w:after="40" w:before="120"/>
      </w:pPr>
      <w:r>
        <w:rPr>
          <w:rFonts w:ascii="Calibri" w:cs="Calibri" w:eastAsia="Calibri" w:hAnsi="Calibri"/>
          <w:b/>
          <w:bCs/>
          <w:i w:val="false"/>
          <w:iCs w:val="false"/>
          <w:color w:val="003A2A"/>
          <w:sz w:val="44"/>
          <w:szCs w:val="44"/>
        </w:rPr>
        <w:t xml:space="preserve">Strategic Integration Direction</w:t>
      </w:r>
    </w:p>
    <w:p>
      <w:pPr>
        <w:spacing w:after="40"/>
      </w:pPr>
      <w:r>
        <w:rPr>
          <w:rFonts w:ascii="Calibri" w:cs="Calibri" w:eastAsia="Calibri" w:hAnsi="Calibri"/>
          <w:b w:val="false"/>
          <w:bCs w:val="false"/>
          <w:i/>
          <w:iCs/>
          <w:color w:val="6B7280"/>
          <w:sz w:val="24"/>
          <w:szCs w:val="24"/>
        </w:rPr>
        <w:t xml:space="preserve">Beyond a like-for-like WebMethods / ChRIS → Boomi iPaaS mapping</w:t>
      </w:r>
    </w:p>
    <w:p>
      <w:pPr>
        <w:spacing w:after="240"/>
      </w:pPr>
      <w:r>
        <w:rPr>
          <w:rFonts w:ascii="Calibri" w:cs="Calibri" w:eastAsia="Calibri" w:hAnsi="Calibri"/>
          <w:b w:val="false"/>
          <w:bCs w:val="false"/>
          <w:i w:val="false"/>
          <w:iCs w:val="false"/>
          <w:color w:val="6B7280"/>
          <w:sz w:val="18"/>
          <w:szCs w:val="18"/>
        </w:rPr>
        <w:t xml:space="preserve">Companion to the Integration Pattern Catalogue (iPaaS)  ·  Working paper, v0.1  ·  July 2026</w:t>
      </w:r>
    </w:p>
    <w:p>
      <w:pPr>
        <w:pBdr>
          <w:left w:val="single" w:color="00B388" w:sz="18"/>
        </w:pBdr>
        <w:shd w:fill="EAF6F1" w:color="auto" w:val="clear"/>
        <w:spacing w:after="120" w:before="80" w:line="258"/>
        <w:ind w:left="120"/>
      </w:pPr>
      <w:r>
        <w:rPr>
          <w:rFonts w:ascii="Calibri" w:cs="Calibri" w:eastAsia="Calibri" w:hAnsi="Calibri"/>
          <w:b/>
          <w:bCs/>
          <w:i w:val="false"/>
          <w:iCs w:val="false"/>
          <w:color w:val="00B388"/>
          <w:sz w:val="19"/>
          <w:szCs w:val="19"/>
        </w:rPr>
        <w:t xml:space="preserve">Purpose.  </w:t>
      </w:r>
      <w:r>
        <w:rPr>
          <w:rFonts w:ascii="Calibri" w:cs="Calibri" w:eastAsia="Calibri" w:hAnsi="Calibri"/>
          <w:b w:val="false"/>
          <w:bCs w:val="false"/>
          <w:i w:val="false"/>
          <w:iCs w:val="false"/>
          <w:color w:val="1A1A1A"/>
          <w:sz w:val="19"/>
          <w:szCs w:val="19"/>
        </w:rPr>
        <w:t xml:space="preserve">This paper takes the As-Is → To-Be pattern table (WebMethods and ChRIS legacy patterns mapped to the P-1xx Boomi catalogue) and asks a different question from “can Boomi do this?”. It asks “is this the pattern we should carry into the target state at all?”. It sets out the strategic direction, challenges several assumptions baked into the current mapping, and gives a concrete answer to each challenge.</w:t>
      </w:r>
    </w:p>
    <w:p>
      <w:pPr>
        <w:pStyle w:val="Heading1"/>
        <w:spacing w:after="120" w:before="300"/>
      </w:pPr>
      <w:r>
        <w:rPr>
          <w:rFonts w:ascii="Calibri" w:cs="Calibri" w:eastAsia="Calibri" w:hAnsi="Calibri"/>
          <w:b/>
          <w:bCs/>
          <w:color w:val="003A2A"/>
          <w:sz w:val="30"/>
          <w:szCs w:val="30"/>
        </w:rPr>
        <w:t xml:space="preserve">1.  Executive summary — the core thesis</w:t>
      </w:r>
    </w:p>
    <w:p>
      <w:pPr>
        <w:spacing w:after="120" w:before="0" w:line="264"/>
        <w:jc w:val="left"/>
      </w:pPr>
      <w:r>
        <w:rPr>
          <w:rFonts w:ascii="Calibri" w:cs="Calibri" w:eastAsia="Calibri" w:hAnsi="Calibri"/>
          <w:b w:val="false"/>
          <w:bCs w:val="false"/>
          <w:i w:val="false"/>
          <w:iCs w:val="false"/>
          <w:color w:val="1A1A1A"/>
          <w:sz w:val="20"/>
          <w:szCs w:val="20"/>
        </w:rPr>
        <w:t xml:space="preserve">The current catalogue is a strong translation layer, but it is written through a lift-and-shift lens: every legacy behaviour is given a one-to-one Boomi equivalent, and almost every row is annotated “Ready to use pattern”. The strategic risk is that we faithfully re-implement WebMethods-era thinking inside a newer tool and inherit its coupling, its batch habits, and its point-to-point sprawl — just on a different licence.</w:t>
      </w:r>
    </w:p>
    <w:p>
      <w:pPr>
        <w:spacing w:after="120" w:before="0" w:line="264"/>
        <w:jc w:val="left"/>
      </w:pPr>
      <w:r>
        <w:rPr>
          <w:rFonts w:ascii="Calibri" w:cs="Calibri" w:eastAsia="Calibri" w:hAnsi="Calibri"/>
          <w:b w:val="false"/>
          <w:bCs w:val="false"/>
          <w:i w:val="false"/>
          <w:iCs w:val="false"/>
          <w:color w:val="1A1A1A"/>
          <w:sz w:val="20"/>
          <w:szCs w:val="20"/>
        </w:rPr>
        <w:t xml:space="preserve">Three shifts turn the mapping from a migration inventory into a strategic target:</w:t>
      </w:r>
    </w:p>
    <w:p>
      <w:pPr>
        <w:pStyle w:val="ListParagraph"/>
        <w:numPr>
          <w:ilvl w:val="0"/>
          <w:numId w:val="2"/>
        </w:numPr>
        <w:spacing w:after="70" w:line="258"/>
      </w:pPr>
      <w:r>
        <w:rPr>
          <w:rFonts w:ascii="Calibri" w:cs="Calibri" w:eastAsia="Calibri" w:hAnsi="Calibri"/>
          <w:b/>
          <w:bCs/>
          <w:i w:val="false"/>
          <w:iCs w:val="false"/>
          <w:color w:val="1A1A1A"/>
          <w:sz w:val="20"/>
          <w:szCs w:val="20"/>
        </w:rPr>
        <w:t xml:space="preserve">Consolidate, don’t translate. </w:t>
      </w:r>
      <w:r>
        <w:rPr>
          <w:rFonts w:ascii="Calibri" w:cs="Calibri" w:eastAsia="Calibri" w:hAnsi="Calibri"/>
          <w:b w:val="false"/>
          <w:bCs w:val="false"/>
          <w:i w:val="false"/>
          <w:iCs w:val="false"/>
          <w:color w:val="1A1A1A"/>
          <w:sz w:val="20"/>
          <w:szCs w:val="20"/>
        </w:rPr>
        <w:t xml:space="preserve">The ~25 legacy patterns collapse onto roughly 6–8 canonical patterns plus a set of composable capability modifiers (validate, transform, retry/DLQ, idempotency, compensate). The tell is already in your own table: Transforming, Validated, Error-Handling, Reliable and Orchestrated Publish all map to P-112. Those are not five patterns; they are one pattern with flags.</w:t>
      </w:r>
    </w:p>
    <w:p>
      <w:pPr>
        <w:pStyle w:val="ListParagraph"/>
        <w:numPr>
          <w:ilvl w:val="0"/>
          <w:numId w:val="2"/>
        </w:numPr>
        <w:spacing w:after="70" w:line="258"/>
      </w:pPr>
      <w:r>
        <w:rPr>
          <w:rFonts w:ascii="Calibri" w:cs="Calibri" w:eastAsia="Calibri" w:hAnsi="Calibri"/>
          <w:b/>
          <w:bCs/>
          <w:i w:val="false"/>
          <w:iCs w:val="false"/>
          <w:color w:val="1A1A1A"/>
          <w:sz w:val="20"/>
          <w:szCs w:val="20"/>
        </w:rPr>
        <w:t xml:space="preserve">Tier the architecture; stop over-centralising on the iPaaS. </w:t>
      </w:r>
      <w:r>
        <w:rPr>
          <w:rFonts w:ascii="Calibri" w:cs="Calibri" w:eastAsia="Calibri" w:hAnsi="Calibri"/>
          <w:b w:val="false"/>
          <w:bCs w:val="false"/>
          <w:i w:val="false"/>
          <w:iCs w:val="false"/>
          <w:color w:val="1A1A1A"/>
          <w:sz w:val="20"/>
          <w:szCs w:val="20"/>
        </w:rPr>
        <w:t xml:space="preserve">Boomi should own orchestration, transformation, protocol mediation, MFT and integration-scoped eventing. A dedicated API gateway should own synchronous client traffic, and a dedicated event backbone should own enterprise pub/sub. “Boomi can do it” is not the same as “Boomi is the right tier for it”.</w:t>
      </w:r>
    </w:p>
    <w:p>
      <w:pPr>
        <w:pStyle w:val="ListParagraph"/>
        <w:numPr>
          <w:ilvl w:val="0"/>
          <w:numId w:val="2"/>
        </w:numPr>
        <w:spacing w:after="70" w:line="258"/>
      </w:pPr>
      <w:r>
        <w:rPr>
          <w:rFonts w:ascii="Calibri" w:cs="Calibri" w:eastAsia="Calibri" w:hAnsi="Calibri"/>
          <w:b/>
          <w:bCs/>
          <w:i w:val="false"/>
          <w:iCs w:val="false"/>
          <w:color w:val="1A1A1A"/>
          <w:sz w:val="20"/>
          <w:szCs w:val="20"/>
        </w:rPr>
        <w:t xml:space="preserve">Promote the cross-cutting concerns to first-class citizens. </w:t>
      </w:r>
      <w:r>
        <w:rPr>
          <w:rFonts w:ascii="Calibri" w:cs="Calibri" w:eastAsia="Calibri" w:hAnsi="Calibri"/>
          <w:b w:val="false"/>
          <w:bCs w:val="false"/>
          <w:i w:val="false"/>
          <w:iCs w:val="false"/>
          <w:color w:val="1A1A1A"/>
          <w:sz w:val="20"/>
          <w:szCs w:val="20"/>
        </w:rPr>
        <w:t xml:space="preserve">Idempotency, the transactional outbox, correlation/trace propagation and read-model projections are currently implicit (or, for Transactional Publish, marked TBD). In an at-least-once, async-first estate these are not footnotes — they are the design.</w:t>
      </w:r>
    </w:p>
    <w:p>
      <w:r>
        <w:br w:type="page"/>
      </w:r>
    </w:p>
    <w:p>
      <w:pPr>
        <w:pStyle w:val="Heading1"/>
        <w:spacing w:after="120" w:before="300"/>
      </w:pPr>
      <w:r>
        <w:rPr>
          <w:rFonts w:ascii="Calibri" w:cs="Calibri" w:eastAsia="Calibri" w:hAnsi="Calibri"/>
          <w:b/>
          <w:bCs/>
          <w:color w:val="003A2A"/>
          <w:sz w:val="30"/>
          <w:szCs w:val="30"/>
        </w:rPr>
        <w:t xml:space="preserve">2.  Challenges to the current mapping — and the answers</w:t>
      </w:r>
    </w:p>
    <w:p>
      <w:pPr>
        <w:spacing w:after="120" w:before="0" w:line="264"/>
        <w:jc w:val="left"/>
      </w:pPr>
      <w:r>
        <w:rPr>
          <w:rFonts w:ascii="Calibri" w:cs="Calibri" w:eastAsia="Calibri" w:hAnsi="Calibri"/>
          <w:b w:val="false"/>
          <w:bCs w:val="false"/>
          <w:i/>
          <w:iCs/>
          <w:color w:val="6B7280"/>
          <w:sz w:val="20"/>
          <w:szCs w:val="20"/>
        </w:rPr>
        <w:t xml:space="preserve">Each row states an assumption embedded in the catalogue, challenges it, and gives the strategic answer. These are meant to be argued with in review, not accepted wholesale.</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520"/>
        <w:gridCol w:w="2600"/>
        <w:gridCol w:w="2900"/>
        <w:gridCol w:w="3340"/>
      </w:tblGrid>
      <w:tr>
        <w:trPr>
          <w:tblHeader/>
        </w:trPr>
        <w:tc>
          <w:tcPr>
            <w:tcW w:type="dxa" w:w="520"/>
            <w:shd w:fill="003A2A" w:color="auto" w:val="clear"/>
            <w:tcMar>
              <w:top w:type="dxa" w:w="70"/>
              <w:left w:type="dxa" w:w="100"/>
              <w:bottom w:type="dxa" w:w="70"/>
              <w:right w:type="dxa" w:w="100"/>
            </w:tcMar>
          </w:tcPr>
          <w:p>
            <w:pPr>
              <w:spacing w:after="0"/>
            </w:pPr>
            <w:r>
              <w:rPr>
                <w:rFonts w:ascii="Calibri" w:cs="Calibri" w:eastAsia="Calibri" w:hAnsi="Calibri"/>
                <w:b/>
                <w:bCs/>
                <w:i w:val="false"/>
                <w:iCs w:val="false"/>
                <w:color w:val="FFFFFF"/>
                <w:sz w:val="18"/>
                <w:szCs w:val="18"/>
              </w:rPr>
              <w:t xml:space="preserve">#</w:t>
            </w:r>
          </w:p>
        </w:tc>
        <w:tc>
          <w:tcPr>
            <w:tcW w:type="dxa" w:w="2600"/>
            <w:shd w:fill="003A2A" w:color="auto" w:val="clear"/>
            <w:tcMar>
              <w:top w:type="dxa" w:w="70"/>
              <w:left w:type="dxa" w:w="100"/>
              <w:bottom w:type="dxa" w:w="70"/>
              <w:right w:type="dxa" w:w="100"/>
            </w:tcMar>
          </w:tcPr>
          <w:p>
            <w:pPr>
              <w:spacing w:after="0"/>
            </w:pPr>
            <w:r>
              <w:rPr>
                <w:rFonts w:ascii="Calibri" w:cs="Calibri" w:eastAsia="Calibri" w:hAnsi="Calibri"/>
                <w:b/>
                <w:bCs/>
                <w:i w:val="false"/>
                <w:iCs w:val="false"/>
                <w:color w:val="FFFFFF"/>
                <w:sz w:val="18"/>
                <w:szCs w:val="18"/>
              </w:rPr>
              <w:t xml:space="preserve">Assumption in the catalogue</w:t>
            </w:r>
          </w:p>
        </w:tc>
        <w:tc>
          <w:tcPr>
            <w:tcW w:type="dxa" w:w="2900"/>
            <w:shd w:fill="003A2A" w:color="auto" w:val="clear"/>
            <w:tcMar>
              <w:top w:type="dxa" w:w="70"/>
              <w:left w:type="dxa" w:w="100"/>
              <w:bottom w:type="dxa" w:w="70"/>
              <w:right w:type="dxa" w:w="100"/>
            </w:tcMar>
          </w:tcPr>
          <w:p>
            <w:pPr>
              <w:spacing w:after="0"/>
            </w:pPr>
            <w:r>
              <w:rPr>
                <w:rFonts w:ascii="Calibri" w:cs="Calibri" w:eastAsia="Calibri" w:hAnsi="Calibri"/>
                <w:b/>
                <w:bCs/>
                <w:i w:val="false"/>
                <w:iCs w:val="false"/>
                <w:color w:val="FFFFFF"/>
                <w:sz w:val="18"/>
                <w:szCs w:val="18"/>
              </w:rPr>
              <w:t xml:space="preserve">Challenge</w:t>
            </w:r>
          </w:p>
        </w:tc>
        <w:tc>
          <w:tcPr>
            <w:tcW w:type="dxa" w:w="3340"/>
            <w:shd w:fill="003A2A" w:color="auto" w:val="clear"/>
            <w:tcMar>
              <w:top w:type="dxa" w:w="70"/>
              <w:left w:type="dxa" w:w="100"/>
              <w:bottom w:type="dxa" w:w="70"/>
              <w:right w:type="dxa" w:w="100"/>
            </w:tcMar>
          </w:tcPr>
          <w:p>
            <w:pPr>
              <w:spacing w:after="0"/>
            </w:pPr>
            <w:r>
              <w:rPr>
                <w:rFonts w:ascii="Calibri" w:cs="Calibri" w:eastAsia="Calibri" w:hAnsi="Calibri"/>
                <w:b/>
                <w:bCs/>
                <w:i w:val="false"/>
                <w:iCs w:val="false"/>
                <w:color w:val="FFFFFF"/>
                <w:sz w:val="18"/>
                <w:szCs w:val="18"/>
              </w:rPr>
              <w:t xml:space="preserve">Strategic answer</w:t>
            </w:r>
          </w:p>
        </w:tc>
      </w:tr>
      <w:tr>
        <w:tc>
          <w:tcPr>
            <w:tcW w:type="dxa" w:w="52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C1</w:t>
            </w:r>
          </w:p>
        </w:tc>
        <w:tc>
          <w:tcPr>
            <w:tcW w:type="dxa" w:w="26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Each legacy behaviour deserves its own Boomi pattern (~25 entries).</w:t>
            </w:r>
          </w:p>
        </w:tc>
        <w:tc>
          <w:tcPr>
            <w:tcW w:type="dxa" w:w="29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Most rows already collapse onto P-112 / P-115. Validation, transformation, error handling and reliability are capability toggles, not distinct patterns. A 25-entry catalogue manufactures false choice and multiplies maintenance.</w:t>
            </w:r>
          </w:p>
        </w:tc>
        <w:tc>
          <w:tcPr>
            <w:tcW w:type="dxa" w:w="334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Consolidate to ~6–8 canonical patterns + composable modifiers. Governance reviews the modifiers applied, not 25 near-duplicate rows. Fewer patterns, chosen deliberately, beats many patterns chosen by resemblance.</w:t>
            </w:r>
          </w:p>
        </w:tc>
      </w:tr>
      <w:tr>
        <w:tc>
          <w:tcPr>
            <w:tcW w:type="dxa" w:w="52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C2</w:t>
            </w:r>
          </w:p>
        </w:tc>
        <w:tc>
          <w:tcPr>
            <w:tcW w:type="dxa" w:w="26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“Ready to use pattern” means the pattern is the right choice.</w:t>
            </w:r>
          </w:p>
        </w:tc>
        <w:tc>
          <w:tcPr>
            <w:tcW w:type="dxa" w:w="29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“Ready to use” describes tool capability, not architectural fitness. Feasibility is not suitability. Almost every row carries this label, which quietly turns a design catalogue into a feature checklist.</w:t>
            </w:r>
          </w:p>
        </w:tc>
        <w:tc>
          <w:tcPr>
            <w:tcW w:type="dxa" w:w="334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Split the judgement into two axes: implementable in Boomi (yes / mostly / no) AND strategic status (Target / Bridge / Avoid). Several “ready” patterns are bridges to sunset, not destinations.</w:t>
            </w:r>
          </w:p>
        </w:tc>
      </w:tr>
      <w:tr>
        <w:tc>
          <w:tcPr>
            <w:tcW w:type="dxa" w:w="52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C3</w:t>
            </w:r>
          </w:p>
        </w:tc>
        <w:tc>
          <w:tcPr>
            <w:tcW w:type="dxa" w:w="26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Sync vs async is chosen by “how many consumers” (see Simple Publish / fire-and-forget notes).</w:t>
            </w:r>
          </w:p>
        </w:tc>
        <w:tc>
          <w:tcPr>
            <w:tcW w:type="dxa" w:w="29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Consumer count is the wrong axis. The real axis is delivery semantics and coupling: does the producer block on the outcome, and can it tolerate temporal coupling to the consumer’s availability?</w:t>
            </w:r>
          </w:p>
        </w:tc>
        <w:tc>
          <w:tcPr>
            <w:tcW w:type="dxa" w:w="334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Go async for temporal decoupling, buffering and independent scaling — even with a single consumer. Reserve sync for when the caller genuinely blocks on the result and the latency budget is tight.</w:t>
            </w:r>
          </w:p>
        </w:tc>
      </w:tr>
      <w:tr>
        <w:tc>
          <w:tcPr>
            <w:tcW w:type="dxa" w:w="52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C4</w:t>
            </w:r>
          </w:p>
        </w:tc>
        <w:tc>
          <w:tcPr>
            <w:tcW w:type="dxa" w:w="26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Boomi is the platform for synchronous API proxying (P-101 / P-102).</w:t>
            </w:r>
          </w:p>
        </w:tc>
        <w:tc>
          <w:tcPr>
            <w:tcW w:type="dxa" w:w="29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iPaaS as a synchronous gateway at scale is a known anti-pattern: per-execution cost, added hop latency, weak native throttling / quota / developer-portal, and throughput ceilings under high TPS.</w:t>
            </w:r>
          </w:p>
        </w:tc>
        <w:tc>
          <w:tcPr>
            <w:tcW w:type="dxa" w:w="334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Put a dedicated API gateway in front (Azure APIM / Apigee / Kong / AWS API GW) for auth, throttling, quotas and the developer portal. Boomi sits behind it for orchestration and transformation — not as the gateway itself.</w:t>
            </w:r>
          </w:p>
        </w:tc>
      </w:tr>
      <w:tr>
        <w:tc>
          <w:tcPr>
            <w:tcW w:type="dxa" w:w="52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C5</w:t>
            </w:r>
          </w:p>
        </w:tc>
        <w:tc>
          <w:tcPr>
            <w:tcW w:type="dxa" w:w="26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Cross-HOD data requests are served by live synchronous aggregation (P-105).</w:t>
            </w:r>
          </w:p>
        </w:tc>
        <w:tc>
          <w:tcPr>
            <w:tcW w:type="dxa" w:w="29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Synchronous scatter-gather multiplies failure — end-to-end availability is the product of every HOD’s availability, and latency is their sum. One slow Head of Duty degrades every request, and “polling protection” is a symptom of this fragility.</w:t>
            </w:r>
          </w:p>
        </w:tc>
        <w:tc>
          <w:tcPr>
            <w:tcW w:type="dxa" w:w="334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Apply CQRS: pre-aggregate via events into a DB-backed read projection (your cache-table learning). The sync request reads the local projection; HODs update it asynchronously. Polling protection then becomes largely unnecessary.</w:t>
            </w:r>
          </w:p>
        </w:tc>
      </w:tr>
      <w:tr>
        <w:tc>
          <w:tcPr>
            <w:tcW w:type="dxa" w:w="52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C6</w:t>
            </w:r>
          </w:p>
        </w:tc>
        <w:tc>
          <w:tcPr>
            <w:tcW w:type="dxa" w:w="26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Transactional Publish is TBD.</w:t>
            </w:r>
          </w:p>
        </w:tc>
        <w:tc>
          <w:tcPr>
            <w:tcW w:type="dxa" w:w="29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This is the single most important gap, not a footnote. Distributed 2PC across a state change and a publish does not work in an event/iPaaS world — and your own note that the Event Streams produce side needs hand-built retry proves the point.</w:t>
            </w:r>
          </w:p>
        </w:tc>
        <w:tc>
          <w:tcPr>
            <w:tcW w:type="dxa" w:w="334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Transactional Outbox + relay: write the event to an outbox table in the SAME DB transaction as the state change; a relay publishes it at-least-once to idempotent consumers. For multi-step business transactions use a Saga with explicit compensation — not rollback.</w:t>
            </w:r>
          </w:p>
        </w:tc>
      </w:tr>
      <w:tr>
        <w:tc>
          <w:tcPr>
            <w:tcW w:type="dxa" w:w="52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C7</w:t>
            </w:r>
          </w:p>
        </w:tc>
        <w:tc>
          <w:tcPr>
            <w:tcW w:type="dxa" w:w="26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An async HOD call behind a sync client API is just “P-102 Standard Sync REST”.</w:t>
            </w:r>
          </w:p>
        </w:tc>
        <w:tc>
          <w:tcPr>
            <w:tcW w:type="dxa" w:w="29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Wrapping an async backend inside a sync facade silently holds threads and creates timeout / back-pressure risk. It is labelled sync but behaves like a hidden orchestration.</w:t>
            </w:r>
          </w:p>
        </w:tc>
        <w:tc>
          <w:tcPr>
            <w:tcW w:type="dxa" w:w="334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Make the async explicit: 202 Accepted + a status resource (Location header), a bounded fast-fail wait, then client poll or webhook callback. Don’t disguise async as sync.</w:t>
            </w:r>
          </w:p>
        </w:tc>
      </w:tr>
      <w:tr>
        <w:tc>
          <w:tcPr>
            <w:tcW w:type="dxa" w:w="52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C8</w:t>
            </w:r>
          </w:p>
        </w:tc>
        <w:tc>
          <w:tcPr>
            <w:tcW w:type="dxa" w:w="26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The enterprise event backbone is owned inside Boomi (Event Streams).</w:t>
            </w:r>
          </w:p>
        </w:tc>
        <w:tc>
          <w:tcPr>
            <w:tcW w:type="dxa" w:w="29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Owning the event fabric inside the iPaaS couples enterprise eventing to one vendor’s licensing, throughput ceiling and release lifecycle — and non-Boomi consumers become second-class citizens.</w:t>
            </w:r>
          </w:p>
        </w:tc>
        <w:tc>
          <w:tcPr>
            <w:tcW w:type="dxa" w:w="334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Decide deliberately. Event Streams is fine for integration-scoped eventing; for a backbone consumed by many non-Boomi systems, evaluate a dedicated broker (Confluent/Kafka, Solace, Azure Event Hubs) with Boomi as a participant, not the owner.</w:t>
            </w:r>
          </w:p>
        </w:tc>
      </w:tr>
      <w:tr>
        <w:tc>
          <w:tcPr>
            <w:tcW w:type="dxa" w:w="52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C9</w:t>
            </w:r>
          </w:p>
        </w:tc>
        <w:tc>
          <w:tcPr>
            <w:tcW w:type="dxa" w:w="26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File transfer (MFT, P-116) is a strategic target pattern.</w:t>
            </w:r>
          </w:p>
        </w:tc>
        <w:tc>
          <w:tcPr>
            <w:tcW w:type="dxa" w:w="29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Many “file” flows are legacy batch exports wearing an integration costume. Treating MFT as a destination entrenches batch coupling and nightly-window fragility.</w:t>
            </w:r>
          </w:p>
        </w:tc>
        <w:tc>
          <w:tcPr>
            <w:tcW w:type="dxa" w:w="334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Classify MFT as a Bridge with a sunset trajectory. Where the source can emit events or expose an API, migrate off files. Keep MFT for genuine bulk / third-party exchange only.</w:t>
            </w:r>
          </w:p>
        </w:tc>
      </w:tr>
      <w:tr>
        <w:tc>
          <w:tcPr>
            <w:tcW w:type="dxa" w:w="52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C10</w:t>
            </w:r>
          </w:p>
        </w:tc>
        <w:tc>
          <w:tcPr>
            <w:tcW w:type="dxa" w:w="26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Idempotency, ordering, correlation and replay are implementation details.</w:t>
            </w:r>
          </w:p>
        </w:tc>
        <w:tc>
          <w:tcPr>
            <w:tcW w:type="dxa" w:w="29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At-least-once delivery (Kafka / Event Streams) makes a non-idempotent consumer a data-integrity defect waiting to happen. None of these appear as first-class concerns in the catalogue.</w:t>
            </w:r>
          </w:p>
        </w:tc>
        <w:tc>
          <w:tcPr>
            <w:tcW w:type="dxa" w:w="334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Elevate them to mandatory cross-cutting standards applied to every pattern: idempotency keys, partition/ordering keys, correlation-ID propagation (ChRIS → Boomi → HOD), DLQ + replay, and end-to-end tracing.</w:t>
            </w:r>
          </w:p>
        </w:tc>
      </w:tr>
    </w:tbl>
    <w:p>
      <w:r>
        <w:br w:type="page"/>
      </w:r>
    </w:p>
    <w:p>
      <w:pPr>
        <w:pStyle w:val="Heading1"/>
        <w:spacing w:after="120" w:before="300"/>
      </w:pPr>
      <w:r>
        <w:rPr>
          <w:rFonts w:ascii="Calibri" w:cs="Calibri" w:eastAsia="Calibri" w:hAnsi="Calibri"/>
          <w:b/>
          <w:bCs/>
          <w:color w:val="003A2A"/>
          <w:sz w:val="30"/>
          <w:szCs w:val="30"/>
        </w:rPr>
        <w:t xml:space="preserve">3.  Strategic target reference architecture</w:t>
      </w:r>
    </w:p>
    <w:p>
      <w:pPr>
        <w:spacing w:after="120" w:before="0" w:line="264"/>
        <w:jc w:val="left"/>
      </w:pPr>
      <w:r>
        <w:rPr>
          <w:rFonts w:ascii="Calibri" w:cs="Calibri" w:eastAsia="Calibri" w:hAnsi="Calibri"/>
          <w:b w:val="false"/>
          <w:bCs w:val="false"/>
          <w:i w:val="false"/>
          <w:iCs w:val="false"/>
          <w:color w:val="1A1A1A"/>
          <w:sz w:val="20"/>
          <w:szCs w:val="20"/>
        </w:rPr>
        <w:t xml:space="preserve">The target is a tiered estate where each tier is owned by the technology best suited to it. Boomi is a first-class citizen of the middle tiers — not the whole stack. A separate draw.io diagram accompanies this paper.</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900"/>
        <w:gridCol w:w="3100"/>
        <w:gridCol w:w="4360"/>
      </w:tblGrid>
      <w:tr>
        <w:trPr>
          <w:tblHeader/>
        </w:trPr>
        <w:tc>
          <w:tcPr>
            <w:tcW w:type="dxa" w:w="1900"/>
            <w:shd w:fill="003A2A" w:color="auto" w:val="clear"/>
            <w:tcMar>
              <w:top w:type="dxa" w:w="70"/>
              <w:left w:type="dxa" w:w="100"/>
              <w:bottom w:type="dxa" w:w="70"/>
              <w:right w:type="dxa" w:w="100"/>
            </w:tcMar>
          </w:tcPr>
          <w:p>
            <w:pPr>
              <w:spacing w:after="0"/>
            </w:pPr>
            <w:r>
              <w:rPr>
                <w:rFonts w:ascii="Calibri" w:cs="Calibri" w:eastAsia="Calibri" w:hAnsi="Calibri"/>
                <w:b/>
                <w:bCs/>
                <w:i w:val="false"/>
                <w:iCs w:val="false"/>
                <w:color w:val="FFFFFF"/>
                <w:sz w:val="18"/>
                <w:szCs w:val="18"/>
              </w:rPr>
              <w:t xml:space="preserve">Tier</w:t>
            </w:r>
          </w:p>
        </w:tc>
        <w:tc>
          <w:tcPr>
            <w:tcW w:type="dxa" w:w="3100"/>
            <w:shd w:fill="003A2A" w:color="auto" w:val="clear"/>
            <w:tcMar>
              <w:top w:type="dxa" w:w="70"/>
              <w:left w:type="dxa" w:w="100"/>
              <w:bottom w:type="dxa" w:w="70"/>
              <w:right w:type="dxa" w:w="100"/>
            </w:tcMar>
          </w:tcPr>
          <w:p>
            <w:pPr>
              <w:spacing w:after="0"/>
            </w:pPr>
            <w:r>
              <w:rPr>
                <w:rFonts w:ascii="Calibri" w:cs="Calibri" w:eastAsia="Calibri" w:hAnsi="Calibri"/>
                <w:b/>
                <w:bCs/>
                <w:i w:val="false"/>
                <w:iCs w:val="false"/>
                <w:color w:val="FFFFFF"/>
                <w:sz w:val="18"/>
                <w:szCs w:val="18"/>
              </w:rPr>
              <w:t xml:space="preserve">Owned by</w:t>
            </w:r>
          </w:p>
        </w:tc>
        <w:tc>
          <w:tcPr>
            <w:tcW w:type="dxa" w:w="4360"/>
            <w:shd w:fill="003A2A" w:color="auto" w:val="clear"/>
            <w:tcMar>
              <w:top w:type="dxa" w:w="70"/>
              <w:left w:type="dxa" w:w="100"/>
              <w:bottom w:type="dxa" w:w="70"/>
              <w:right w:type="dxa" w:w="100"/>
            </w:tcMar>
          </w:tcPr>
          <w:p>
            <w:pPr>
              <w:spacing w:after="0"/>
            </w:pPr>
            <w:r>
              <w:rPr>
                <w:rFonts w:ascii="Calibri" w:cs="Calibri" w:eastAsia="Calibri" w:hAnsi="Calibri"/>
                <w:b/>
                <w:bCs/>
                <w:i w:val="false"/>
                <w:iCs w:val="false"/>
                <w:color w:val="FFFFFF"/>
                <w:sz w:val="18"/>
                <w:szCs w:val="18"/>
              </w:rPr>
              <w:t xml:space="preserve">Responsibility</w:t>
            </w:r>
          </w:p>
        </w:tc>
      </w:tr>
      <w:tr>
        <w:tc>
          <w:tcPr>
            <w:tcW w:type="dxa" w:w="19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Channel / Experience</w:t>
            </w:r>
          </w:p>
        </w:tc>
        <w:tc>
          <w:tcPr>
            <w:tcW w:type="dxa" w:w="31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Dedicated API gateway (Azure APIM / Apigee / Kong / AWS API GW)</w:t>
            </w:r>
          </w:p>
        </w:tc>
        <w:tc>
          <w:tcPr>
            <w:tcW w:type="dxa" w:w="436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All synchronous client traffic: OAuth2/mTLS, throttling, quotas, spike arrest, developer portal, API versioning. This is where “polling protection” actually belongs.</w:t>
            </w:r>
          </w:p>
        </w:tc>
      </w:tr>
      <w:tr>
        <w:tc>
          <w:tcPr>
            <w:tcW w:type="dxa" w:w="19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Integration / Orchestration</w:t>
            </w:r>
          </w:p>
        </w:tc>
        <w:tc>
          <w:tcPr>
            <w:tcW w:type="dxa" w:w="31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Boomi iPaaS</w:t>
            </w:r>
          </w:p>
        </w:tc>
        <w:tc>
          <w:tcPr>
            <w:tcW w:type="dxa" w:w="436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Orchestration, transformation, enrichment, routing, protocol mediation, MFT. Connectors to HOD and legacy. The strangler layer that lets ChRIS/WebMethods be retired incrementally.</w:t>
            </w:r>
          </w:p>
        </w:tc>
      </w:tr>
      <w:tr>
        <w:tc>
          <w:tcPr>
            <w:tcW w:type="dxa" w:w="19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Event backbone</w:t>
            </w:r>
          </w:p>
        </w:tc>
        <w:tc>
          <w:tcPr>
            <w:tcW w:type="dxa" w:w="31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Dedicated broker (Kafka/Confluent, Solace, Azure Event Hubs) — or Boomi Event Streams if integration-scoped</w:t>
            </w:r>
          </w:p>
        </w:tc>
        <w:tc>
          <w:tcPr>
            <w:tcW w:type="dxa" w:w="436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Durable pub/sub, replay, partitioned ordering, at-least-once delivery. Owned as a shared platform, consumed by Boomi and non-Boomi systems alike.</w:t>
            </w:r>
          </w:p>
        </w:tc>
      </w:tr>
      <w:tr>
        <w:tc>
          <w:tcPr>
            <w:tcW w:type="dxa" w:w="19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Data / Read-model</w:t>
            </w:r>
          </w:p>
        </w:tc>
        <w:tc>
          <w:tcPr>
            <w:tcW w:type="dxa" w:w="31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DB-backed projections + TTL cache (your P-126 direction)</w:t>
            </w:r>
          </w:p>
        </w:tc>
        <w:tc>
          <w:tcPr>
            <w:tcW w:type="dxa" w:w="436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CQRS read models for cross-HOD queries; event-driven invalidation. Turns synchronous scatter-gather into a fast local read.</w:t>
            </w:r>
          </w:p>
        </w:tc>
      </w:tr>
      <w:tr>
        <w:tc>
          <w:tcPr>
            <w:tcW w:type="dxa" w:w="19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Legacy coexistence</w:t>
            </w:r>
          </w:p>
        </w:tc>
        <w:tc>
          <w:tcPr>
            <w:tcW w:type="dxa" w:w="31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WebMethods IS / ChRIS via thin HTTP boundary</w:t>
            </w:r>
          </w:p>
        </w:tc>
        <w:tc>
          <w:tcPr>
            <w:tcW w:type="dxa" w:w="436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One sanctioned crossing point (generic HTTP client, not a native WM connector). Everything behind it is on a sunset path.</w:t>
            </w:r>
          </w:p>
        </w:tc>
      </w:tr>
      <w:tr>
        <w:tc>
          <w:tcPr>
            <w:tcW w:type="dxa" w:w="19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Cross-cutting spine</w:t>
            </w:r>
          </w:p>
        </w:tc>
        <w:tc>
          <w:tcPr>
            <w:tcW w:type="dxa" w:w="31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Applies to every tier</w:t>
            </w:r>
          </w:p>
        </w:tc>
        <w:tc>
          <w:tcPr>
            <w:tcW w:type="dxa" w:w="436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Idempotency · transactional outbox · Saga/compensation · correlation &amp; distributed tracing · DLQ + replay · schema/contract governance · security &amp; audit.</w:t>
            </w:r>
          </w:p>
        </w:tc>
      </w:tr>
    </w:tbl>
    <w:p>
      <w:pPr>
        <w:pBdr>
          <w:left w:val="single" w:color="003A2A" w:sz="18"/>
        </w:pBdr>
        <w:shd w:fill="EAF6F1" w:color="auto" w:val="clear"/>
        <w:spacing w:after="120" w:before="80" w:line="258"/>
        <w:ind w:left="120"/>
      </w:pPr>
      <w:r>
        <w:rPr>
          <w:rFonts w:ascii="Calibri" w:cs="Calibri" w:eastAsia="Calibri" w:hAnsi="Calibri"/>
          <w:b/>
          <w:bCs/>
          <w:i w:val="false"/>
          <w:iCs w:val="false"/>
          <w:color w:val="003A2A"/>
          <w:sz w:val="19"/>
          <w:szCs w:val="19"/>
        </w:rPr>
        <w:t xml:space="preserve">Design rule.  </w:t>
      </w:r>
      <w:r>
        <w:rPr>
          <w:rFonts w:ascii="Calibri" w:cs="Calibri" w:eastAsia="Calibri" w:hAnsi="Calibri"/>
          <w:b w:val="false"/>
          <w:bCs w:val="false"/>
          <w:i w:val="false"/>
          <w:iCs w:val="false"/>
          <w:color w:val="1A1A1A"/>
          <w:sz w:val="19"/>
          <w:szCs w:val="19"/>
        </w:rPr>
        <w:t xml:space="preserve">A request should cross the fewest tiers that satisfy its semantics. A fire-and-forget notification should never touch the sync gateway; a low-latency lookup should never fan out synchronously to five HODs. Match the pattern to the tier, then pick the Boomi shape.</w:t>
      </w:r>
    </w:p>
    <w:p>
      <w:r>
        <w:br w:type="page"/>
      </w:r>
    </w:p>
    <w:p>
      <w:pPr>
        <w:pStyle w:val="Heading1"/>
        <w:spacing w:after="120" w:before="300"/>
      </w:pPr>
      <w:r>
        <w:rPr>
          <w:rFonts w:ascii="Calibri" w:cs="Calibri" w:eastAsia="Calibri" w:hAnsi="Calibri"/>
          <w:b/>
          <w:bCs/>
          <w:color w:val="003A2A"/>
          <w:sz w:val="30"/>
          <w:szCs w:val="30"/>
        </w:rPr>
        <w:t xml:space="preserve">4.  Canonical pattern consolidation</w:t>
      </w:r>
    </w:p>
    <w:p>
      <w:pPr>
        <w:spacing w:after="120" w:before="0" w:line="264"/>
        <w:jc w:val="left"/>
      </w:pPr>
      <w:r>
        <w:rPr>
          <w:rFonts w:ascii="Calibri" w:cs="Calibri" w:eastAsia="Calibri" w:hAnsi="Calibri"/>
          <w:b w:val="false"/>
          <w:bCs w:val="false"/>
          <w:i w:val="false"/>
          <w:iCs w:val="false"/>
          <w:color w:val="1A1A1A"/>
          <w:sz w:val="20"/>
          <w:szCs w:val="20"/>
        </w:rPr>
        <w:t xml:space="preserve">The ~25 legacy rows fold into eight canonical patterns. Everything that currently distinguishes rows becomes a modifier applied on top.</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780"/>
        <w:gridCol w:w="2450"/>
        <w:gridCol w:w="3600"/>
        <w:gridCol w:w="2530"/>
      </w:tblGrid>
      <w:tr>
        <w:trPr>
          <w:tblHeader/>
        </w:trPr>
        <w:tc>
          <w:tcPr>
            <w:tcW w:type="dxa" w:w="780"/>
            <w:shd w:fill="003A2A" w:color="auto" w:val="clear"/>
            <w:tcMar>
              <w:top w:type="dxa" w:w="70"/>
              <w:left w:type="dxa" w:w="100"/>
              <w:bottom w:type="dxa" w:w="70"/>
              <w:right w:type="dxa" w:w="100"/>
            </w:tcMar>
          </w:tcPr>
          <w:p>
            <w:pPr>
              <w:spacing w:after="0"/>
            </w:pPr>
            <w:r>
              <w:rPr>
                <w:rFonts w:ascii="Calibri" w:cs="Calibri" w:eastAsia="Calibri" w:hAnsi="Calibri"/>
                <w:b/>
                <w:bCs/>
                <w:i w:val="false"/>
                <w:iCs w:val="false"/>
                <w:color w:val="FFFFFF"/>
                <w:sz w:val="18"/>
                <w:szCs w:val="18"/>
              </w:rPr>
              <w:t xml:space="preserve">ID</w:t>
            </w:r>
          </w:p>
        </w:tc>
        <w:tc>
          <w:tcPr>
            <w:tcW w:type="dxa" w:w="2450"/>
            <w:shd w:fill="003A2A" w:color="auto" w:val="clear"/>
            <w:tcMar>
              <w:top w:type="dxa" w:w="70"/>
              <w:left w:type="dxa" w:w="100"/>
              <w:bottom w:type="dxa" w:w="70"/>
              <w:right w:type="dxa" w:w="100"/>
            </w:tcMar>
          </w:tcPr>
          <w:p>
            <w:pPr>
              <w:spacing w:after="0"/>
            </w:pPr>
            <w:r>
              <w:rPr>
                <w:rFonts w:ascii="Calibri" w:cs="Calibri" w:eastAsia="Calibri" w:hAnsi="Calibri"/>
                <w:b/>
                <w:bCs/>
                <w:i w:val="false"/>
                <w:iCs w:val="false"/>
                <w:color w:val="FFFFFF"/>
                <w:sz w:val="18"/>
                <w:szCs w:val="18"/>
              </w:rPr>
              <w:t xml:space="preserve">Canonical pattern</w:t>
            </w:r>
          </w:p>
        </w:tc>
        <w:tc>
          <w:tcPr>
            <w:tcW w:type="dxa" w:w="3600"/>
            <w:shd w:fill="003A2A" w:color="auto" w:val="clear"/>
            <w:tcMar>
              <w:top w:type="dxa" w:w="70"/>
              <w:left w:type="dxa" w:w="100"/>
              <w:bottom w:type="dxa" w:w="70"/>
              <w:right w:type="dxa" w:w="100"/>
            </w:tcMar>
          </w:tcPr>
          <w:p>
            <w:pPr>
              <w:spacing w:after="0"/>
            </w:pPr>
            <w:r>
              <w:rPr>
                <w:rFonts w:ascii="Calibri" w:cs="Calibri" w:eastAsia="Calibri" w:hAnsi="Calibri"/>
                <w:b/>
                <w:bCs/>
                <w:i w:val="false"/>
                <w:iCs w:val="false"/>
                <w:color w:val="FFFFFF"/>
                <w:sz w:val="18"/>
                <w:szCs w:val="18"/>
              </w:rPr>
              <w:t xml:space="preserve">Absorbs (legacy rows)</w:t>
            </w:r>
          </w:p>
        </w:tc>
        <w:tc>
          <w:tcPr>
            <w:tcW w:type="dxa" w:w="2530"/>
            <w:shd w:fill="003A2A" w:color="auto" w:val="clear"/>
            <w:tcMar>
              <w:top w:type="dxa" w:w="70"/>
              <w:left w:type="dxa" w:w="100"/>
              <w:bottom w:type="dxa" w:w="70"/>
              <w:right w:type="dxa" w:w="100"/>
            </w:tcMar>
          </w:tcPr>
          <w:p>
            <w:pPr>
              <w:spacing w:after="0"/>
            </w:pPr>
            <w:r>
              <w:rPr>
                <w:rFonts w:ascii="Calibri" w:cs="Calibri" w:eastAsia="Calibri" w:hAnsi="Calibri"/>
                <w:b/>
                <w:bCs/>
                <w:i w:val="false"/>
                <w:iCs w:val="false"/>
                <w:color w:val="FFFFFF"/>
                <w:sz w:val="18"/>
                <w:szCs w:val="18"/>
              </w:rPr>
              <w:t xml:space="preserve">Strategic status</w:t>
            </w:r>
          </w:p>
        </w:tc>
      </w:tr>
      <w:tr>
        <w:tc>
          <w:tcPr>
            <w:tcW w:type="dxa" w:w="78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K1</w:t>
            </w:r>
          </w:p>
        </w:tc>
        <w:tc>
          <w:tcPr>
            <w:tcW w:type="dxa" w:w="2450"/>
            <w:shd w:fill="FFFFFF"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3A2A"/>
                <w:sz w:val="18"/>
                <w:szCs w:val="18"/>
              </w:rPr>
              <w:t xml:space="preserve">Async Event Publish</w:t>
            </w:r>
          </w:p>
        </w:tc>
        <w:tc>
          <w:tcPr>
            <w:tcW w:type="dxa" w:w="36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Simple / Transforming / Validated / Reliable / Orchestrated Publish; Async fire-and-forget</w:t>
            </w:r>
          </w:p>
        </w:tc>
        <w:tc>
          <w:tcPr>
            <w:tcW w:type="dxa" w:w="2530"/>
            <w:shd w:fill="FFFFFF"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B388"/>
                <w:sz w:val="18"/>
                <w:szCs w:val="18"/>
              </w:rPr>
              <w:t xml:space="preserve">Target</w:t>
            </w:r>
          </w:p>
        </w:tc>
      </w:tr>
      <w:tr>
        <w:tc>
          <w:tcPr>
            <w:tcW w:type="dxa" w:w="78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K2</w:t>
            </w:r>
          </w:p>
        </w:tc>
        <w:tc>
          <w:tcPr>
            <w:tcW w:type="dxa" w:w="2450"/>
            <w:shd w:fill="F3F6F5"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3A2A"/>
                <w:sz w:val="18"/>
                <w:szCs w:val="18"/>
              </w:rPr>
              <w:t xml:space="preserve">Async Event Subscribe</w:t>
            </w:r>
          </w:p>
        </w:tc>
        <w:tc>
          <w:tcPr>
            <w:tcW w:type="dxa" w:w="36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Simple / Transforming / Service-Oriented / Validated / Acknowledged / Orchestrated Subscribe; Async dependency-on-HOD-validation</w:t>
            </w:r>
          </w:p>
        </w:tc>
        <w:tc>
          <w:tcPr>
            <w:tcW w:type="dxa" w:w="2530"/>
            <w:shd w:fill="F3F6F5"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B388"/>
                <w:sz w:val="18"/>
                <w:szCs w:val="18"/>
              </w:rPr>
              <w:t xml:space="preserve">Target</w:t>
            </w:r>
          </w:p>
        </w:tc>
      </w:tr>
      <w:tr>
        <w:tc>
          <w:tcPr>
            <w:tcW w:type="dxa" w:w="78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K3</w:t>
            </w:r>
          </w:p>
        </w:tc>
        <w:tc>
          <w:tcPr>
            <w:tcW w:type="dxa" w:w="2450"/>
            <w:shd w:fill="FFFFFF"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3A2A"/>
                <w:sz w:val="18"/>
                <w:szCs w:val="18"/>
              </w:rPr>
              <w:t xml:space="preserve">Async Request–Reply</w:t>
            </w:r>
          </w:p>
        </w:tc>
        <w:tc>
          <w:tcPr>
            <w:tcW w:type="dxa" w:w="36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ChRIS Async Push-Response, Poll-Response, Semi-sync (202 + status resource; webhook or poll)</w:t>
            </w:r>
          </w:p>
        </w:tc>
        <w:tc>
          <w:tcPr>
            <w:tcW w:type="dxa" w:w="2530"/>
            <w:shd w:fill="FFFFFF"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B388"/>
                <w:sz w:val="18"/>
                <w:szCs w:val="18"/>
              </w:rPr>
              <w:t xml:space="preserve">Target</w:t>
            </w:r>
          </w:p>
        </w:tc>
      </w:tr>
      <w:tr>
        <w:tc>
          <w:tcPr>
            <w:tcW w:type="dxa" w:w="78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K4</w:t>
            </w:r>
          </w:p>
        </w:tc>
        <w:tc>
          <w:tcPr>
            <w:tcW w:type="dxa" w:w="2450"/>
            <w:shd w:fill="F3F6F5"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3A2A"/>
                <w:sz w:val="18"/>
                <w:szCs w:val="18"/>
              </w:rPr>
              <w:t xml:space="preserve">Reliable Publish via Outbox</w:t>
            </w:r>
          </w:p>
        </w:tc>
        <w:tc>
          <w:tcPr>
            <w:tcW w:type="dxa" w:w="36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Transactional Publish (the current TBD) + Reliable Publish</w:t>
            </w:r>
          </w:p>
        </w:tc>
        <w:tc>
          <w:tcPr>
            <w:tcW w:type="dxa" w:w="2530"/>
            <w:shd w:fill="F3F6F5"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B388"/>
                <w:sz w:val="18"/>
                <w:szCs w:val="18"/>
              </w:rPr>
              <w:t xml:space="preserve">Target</w:t>
            </w:r>
          </w:p>
        </w:tc>
      </w:tr>
      <w:tr>
        <w:tc>
          <w:tcPr>
            <w:tcW w:type="dxa" w:w="78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K5</w:t>
            </w:r>
          </w:p>
        </w:tc>
        <w:tc>
          <w:tcPr>
            <w:tcW w:type="dxa" w:w="2450"/>
            <w:shd w:fill="FFFFFF"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3A2A"/>
                <w:sz w:val="18"/>
                <w:szCs w:val="18"/>
              </w:rPr>
              <w:t xml:space="preserve">Sync API (behind gateway)</w:t>
            </w:r>
          </w:p>
        </w:tc>
        <w:tc>
          <w:tcPr>
            <w:tcW w:type="dxa" w:w="36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Service-Based Direct; Sync Submissions (P-101/P-102) — gateway in front, Boomi behind</w:t>
            </w:r>
          </w:p>
        </w:tc>
        <w:tc>
          <w:tcPr>
            <w:tcW w:type="dxa" w:w="2530"/>
            <w:shd w:fill="FFFFFF"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B388"/>
                <w:sz w:val="18"/>
                <w:szCs w:val="18"/>
              </w:rPr>
              <w:t xml:space="preserve">Target</w:t>
            </w:r>
          </w:p>
        </w:tc>
      </w:tr>
      <w:tr>
        <w:tc>
          <w:tcPr>
            <w:tcW w:type="dxa" w:w="78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K6</w:t>
            </w:r>
          </w:p>
        </w:tc>
        <w:tc>
          <w:tcPr>
            <w:tcW w:type="dxa" w:w="2450"/>
            <w:shd w:fill="F3F6F5"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3A2A"/>
                <w:sz w:val="18"/>
                <w:szCs w:val="18"/>
              </w:rPr>
              <w:t xml:space="preserve">Aggregated Read (read-model)</w:t>
            </w:r>
          </w:p>
        </w:tc>
        <w:tc>
          <w:tcPr>
            <w:tcW w:type="dxa" w:w="36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Cross-HOD / Sync data request (P-105) served from a projection, not live fan-out</w:t>
            </w:r>
          </w:p>
        </w:tc>
        <w:tc>
          <w:tcPr>
            <w:tcW w:type="dxa" w:w="2530"/>
            <w:shd w:fill="F3F6F5"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B388"/>
                <w:sz w:val="18"/>
                <w:szCs w:val="18"/>
              </w:rPr>
              <w:t xml:space="preserve">Target</w:t>
            </w:r>
          </w:p>
        </w:tc>
      </w:tr>
      <w:tr>
        <w:tc>
          <w:tcPr>
            <w:tcW w:type="dxa" w:w="78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K7</w:t>
            </w:r>
          </w:p>
        </w:tc>
        <w:tc>
          <w:tcPr>
            <w:tcW w:type="dxa" w:w="2450"/>
            <w:shd w:fill="FFFFFF"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3A2A"/>
                <w:sz w:val="18"/>
                <w:szCs w:val="18"/>
              </w:rPr>
              <w:t xml:space="preserve">Batch / Scheduled Processing</w:t>
            </w:r>
          </w:p>
        </w:tc>
        <w:tc>
          <w:tcPr>
            <w:tcW w:type="dxa" w:w="360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Async batch processing; Consolidation; Scheduled Direct Transfer</w:t>
            </w:r>
          </w:p>
        </w:tc>
        <w:tc>
          <w:tcPr>
            <w:tcW w:type="dxa" w:w="2530"/>
            <w:shd w:fill="FFFFFF"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9A6A00"/>
                <w:sz w:val="18"/>
                <w:szCs w:val="18"/>
              </w:rPr>
              <w:t xml:space="preserve">Bridge</w:t>
            </w:r>
          </w:p>
        </w:tc>
      </w:tr>
      <w:tr>
        <w:tc>
          <w:tcPr>
            <w:tcW w:type="dxa" w:w="78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K8</w:t>
            </w:r>
          </w:p>
        </w:tc>
        <w:tc>
          <w:tcPr>
            <w:tcW w:type="dxa" w:w="2450"/>
            <w:shd w:fill="F3F6F5"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003A2A"/>
                <w:sz w:val="18"/>
                <w:szCs w:val="18"/>
              </w:rPr>
              <w:t xml:space="preserve">Bulk / File Transfer (MFT)</w:t>
            </w:r>
          </w:p>
        </w:tc>
        <w:tc>
          <w:tcPr>
            <w:tcW w:type="dxa" w:w="360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1A1A1A"/>
                <w:sz w:val="18"/>
                <w:szCs w:val="18"/>
              </w:rPr>
              <w:t xml:space="preserve">Simple &amp; Scheduled Direct Transfer (P-116)</w:t>
            </w:r>
          </w:p>
        </w:tc>
        <w:tc>
          <w:tcPr>
            <w:tcW w:type="dxa" w:w="2530"/>
            <w:shd w:fill="F3F6F5" w:color="auto" w:val="clear"/>
            <w:tcMar>
              <w:top w:type="dxa" w:w="60"/>
              <w:left w:type="dxa" w:w="100"/>
              <w:bottom w:type="dxa" w:w="60"/>
              <w:right w:type="dxa" w:w="100"/>
            </w:tcMar>
            <w:vAlign w:val="top"/>
          </w:tcPr>
          <w:p>
            <w:pPr>
              <w:spacing w:after="0" w:line="244"/>
            </w:pPr>
            <w:r>
              <w:rPr>
                <w:rFonts w:ascii="Calibri" w:cs="Calibri" w:eastAsia="Calibri" w:hAnsi="Calibri"/>
                <w:b/>
                <w:bCs/>
                <w:i w:val="false"/>
                <w:iCs w:val="false"/>
                <w:color w:val="9A6A00"/>
                <w:sz w:val="18"/>
                <w:szCs w:val="18"/>
              </w:rPr>
              <w:t xml:space="preserve">Bridge → sunset</w:t>
            </w:r>
          </w:p>
        </w:tc>
      </w:tr>
    </w:tbl>
    <w:p>
      <w:pPr>
        <w:pStyle w:val="Heading2"/>
        <w:spacing w:after="90" w:before="220"/>
      </w:pPr>
      <w:r>
        <w:rPr>
          <w:rFonts w:ascii="Calibri" w:cs="Calibri" w:eastAsia="Calibri" w:hAnsi="Calibri"/>
          <w:b/>
          <w:bCs/>
          <w:color w:val="00B388"/>
          <w:sz w:val="24"/>
          <w:szCs w:val="24"/>
        </w:rPr>
        <w:t xml:space="preserve">Composable modifiers (applied to any canonical pattern)</w:t>
      </w:r>
    </w:p>
    <w:p>
      <w:pPr>
        <w:spacing w:after="120" w:before="0" w:line="264"/>
        <w:jc w:val="left"/>
      </w:pPr>
      <w:r>
        <w:rPr>
          <w:rFonts w:ascii="Calibri" w:cs="Calibri" w:eastAsia="Calibri" w:hAnsi="Calibri"/>
          <w:b/>
          <w:bCs/>
          <w:i w:val="false"/>
          <w:iCs w:val="false"/>
          <w:color w:val="1A1A1A"/>
          <w:sz w:val="20"/>
          <w:szCs w:val="20"/>
        </w:rPr>
        <w:t xml:space="preserve">validate · transform · enrich · route · retry + DLQ · idempotency key · ordering/partition key · compensate (saga) · correlate &amp; trace. </w:t>
      </w:r>
      <w:r>
        <w:rPr>
          <w:rFonts w:ascii="Calibri" w:cs="Calibri" w:eastAsia="Calibri" w:hAnsi="Calibri"/>
          <w:b w:val="false"/>
          <w:bCs w:val="false"/>
          <w:i w:val="false"/>
          <w:iCs w:val="false"/>
          <w:color w:val="1A1A1A"/>
          <w:sz w:val="20"/>
          <w:szCs w:val="20"/>
        </w:rPr>
        <w:t xml:space="preserve">A pattern instance is then described as, e.g., “K1 + validate + retry/DLQ + idempotency” — which is exactly your old “Reliable Validated Publish”, but expressed as one pattern plus flags the governance board can reason about.</w:t>
      </w:r>
    </w:p>
    <w:p>
      <w:r>
        <w:br w:type="page"/>
      </w:r>
    </w:p>
    <w:p>
      <w:pPr>
        <w:pStyle w:val="Heading1"/>
        <w:spacing w:after="120" w:before="300"/>
      </w:pPr>
      <w:r>
        <w:rPr>
          <w:rFonts w:ascii="Calibri" w:cs="Calibri" w:eastAsia="Calibri" w:hAnsi="Calibri"/>
          <w:b/>
          <w:bCs/>
          <w:color w:val="003A2A"/>
          <w:sz w:val="30"/>
          <w:szCs w:val="30"/>
        </w:rPr>
        <w:t xml:space="preserve">5.  Closing the named gaps</w:t>
      </w:r>
    </w:p>
    <w:p>
      <w:pPr>
        <w:pStyle w:val="Heading2"/>
        <w:spacing w:after="90" w:before="220"/>
      </w:pPr>
      <w:r>
        <w:rPr>
          <w:rFonts w:ascii="Calibri" w:cs="Calibri" w:eastAsia="Calibri" w:hAnsi="Calibri"/>
          <w:b/>
          <w:bCs/>
          <w:color w:val="00B388"/>
          <w:sz w:val="24"/>
          <w:szCs w:val="24"/>
        </w:rPr>
        <w:t xml:space="preserve">5.1  Transactional Publish (the TBD) → Outbox + Saga</w:t>
      </w:r>
    </w:p>
    <w:p>
      <w:pPr>
        <w:pStyle w:val="ListParagraph"/>
        <w:numPr>
          <w:ilvl w:val="0"/>
          <w:numId w:val="3"/>
        </w:numPr>
        <w:spacing w:after="70" w:line="258"/>
      </w:pPr>
      <w:r>
        <w:rPr>
          <w:rFonts w:ascii="Calibri" w:cs="Calibri" w:eastAsia="Calibri" w:hAnsi="Calibri"/>
          <w:b/>
          <w:bCs/>
          <w:i w:val="false"/>
          <w:iCs w:val="false"/>
          <w:color w:val="1A1A1A"/>
          <w:sz w:val="20"/>
          <w:szCs w:val="20"/>
        </w:rPr>
        <w:t xml:space="preserve">Outbox: </w:t>
      </w:r>
      <w:r>
        <w:rPr>
          <w:rFonts w:ascii="Calibri" w:cs="Calibri" w:eastAsia="Calibri" w:hAnsi="Calibri"/>
          <w:b w:val="false"/>
          <w:bCs w:val="false"/>
          <w:i w:val="false"/>
          <w:iCs w:val="false"/>
          <w:color w:val="1A1A1A"/>
          <w:sz w:val="20"/>
          <w:szCs w:val="20"/>
        </w:rPr>
        <w:t xml:space="preserve">in the same local DB transaction that changes state, insert the event into an outbox table. A relay/poller (or CDC) publishes it to the broker at-least-once. The state change and the intent-to-publish commit atomically; the actual publish is decoupled and retryable — which directly answers the Event Streams produce-side retry asymmetry.</w:t>
      </w:r>
    </w:p>
    <w:p>
      <w:pPr>
        <w:pStyle w:val="ListParagraph"/>
        <w:numPr>
          <w:ilvl w:val="0"/>
          <w:numId w:val="3"/>
        </w:numPr>
        <w:spacing w:after="70" w:line="258"/>
      </w:pPr>
      <w:r>
        <w:rPr>
          <w:rFonts w:ascii="Calibri" w:cs="Calibri" w:eastAsia="Calibri" w:hAnsi="Calibri"/>
          <w:b/>
          <w:bCs/>
          <w:i w:val="false"/>
          <w:iCs w:val="false"/>
          <w:color w:val="1A1A1A"/>
          <w:sz w:val="20"/>
          <w:szCs w:val="20"/>
        </w:rPr>
        <w:t xml:space="preserve">Saga: </w:t>
      </w:r>
      <w:r>
        <w:rPr>
          <w:rFonts w:ascii="Calibri" w:cs="Calibri" w:eastAsia="Calibri" w:hAnsi="Calibri"/>
          <w:b w:val="false"/>
          <w:bCs w:val="false"/>
          <w:i w:val="false"/>
          <w:iCs w:val="false"/>
          <w:color w:val="1A1A1A"/>
          <w:sz w:val="20"/>
          <w:szCs w:val="20"/>
        </w:rPr>
        <w:t xml:space="preserve">for a business transaction spanning multiple systems, model it as a sequence of local transactions with explicit compensating actions. There is no global rollback; there is deliberate, auditable compensation — which a tax estate needs anyway for traceability.</w:t>
      </w:r>
    </w:p>
    <w:p>
      <w:pPr>
        <w:pStyle w:val="Heading2"/>
        <w:spacing w:after="90" w:before="220"/>
      </w:pPr>
      <w:r>
        <w:rPr>
          <w:rFonts w:ascii="Calibri" w:cs="Calibri" w:eastAsia="Calibri" w:hAnsi="Calibri"/>
          <w:b/>
          <w:bCs/>
          <w:color w:val="00B388"/>
          <w:sz w:val="24"/>
          <w:szCs w:val="24"/>
        </w:rPr>
        <w:t xml:space="preserve">5.2  Cross-HOD aggregation → CQRS read model</w:t>
      </w:r>
    </w:p>
    <w:p>
      <w:pPr>
        <w:spacing w:after="120" w:before="0" w:line="264"/>
        <w:jc w:val="left"/>
      </w:pPr>
      <w:r>
        <w:rPr>
          <w:rFonts w:ascii="Calibri" w:cs="Calibri" w:eastAsia="Calibri" w:hAnsi="Calibri"/>
          <w:b w:val="false"/>
          <w:bCs w:val="false"/>
          <w:i w:val="false"/>
          <w:iCs w:val="false"/>
          <w:color w:val="1A1A1A"/>
          <w:sz w:val="20"/>
          <w:szCs w:val="20"/>
        </w:rPr>
        <w:t xml:space="preserve">Replace live synchronous fan-out (P-105) with a materialised projection kept current by HOD events. Reads hit one local store; writes propagate asynchronously. Availability stops being the product of N backends, latency stops being their sum, and “polling protection” is no longer load-bearing.</w:t>
      </w:r>
    </w:p>
    <w:p>
      <w:pPr>
        <w:pStyle w:val="Heading2"/>
        <w:spacing w:after="90" w:before="220"/>
      </w:pPr>
      <w:r>
        <w:rPr>
          <w:rFonts w:ascii="Calibri" w:cs="Calibri" w:eastAsia="Calibri" w:hAnsi="Calibri"/>
          <w:b/>
          <w:bCs/>
          <w:color w:val="00B388"/>
          <w:sz w:val="24"/>
          <w:szCs w:val="24"/>
        </w:rPr>
        <w:t xml:space="preserve">5.3  Idempotency, ordering &amp; replay (make them mandatory)</w:t>
      </w:r>
    </w:p>
    <w:p>
      <w:pPr>
        <w:pStyle w:val="ListParagraph"/>
        <w:numPr>
          <w:ilvl w:val="0"/>
          <w:numId w:val="3"/>
        </w:numPr>
        <w:spacing w:after="70" w:line="258"/>
      </w:pPr>
      <w:r>
        <w:rPr>
          <w:rFonts w:ascii="Calibri" w:cs="Calibri" w:eastAsia="Calibri" w:hAnsi="Calibri"/>
          <w:b w:val="false"/>
          <w:bCs w:val="false"/>
          <w:i w:val="false"/>
          <w:iCs w:val="false"/>
          <w:color w:val="1A1A1A"/>
          <w:sz w:val="20"/>
          <w:szCs w:val="20"/>
        </w:rPr>
        <w:t xml:space="preserve">Every consumer is idempotent by design (natural key or dedicated idempotency key); replaying the same event is safe.</w:t>
      </w:r>
    </w:p>
    <w:p>
      <w:pPr>
        <w:pStyle w:val="ListParagraph"/>
        <w:numPr>
          <w:ilvl w:val="0"/>
          <w:numId w:val="3"/>
        </w:numPr>
        <w:spacing w:after="70" w:line="258"/>
      </w:pPr>
      <w:r>
        <w:rPr>
          <w:rFonts w:ascii="Calibri" w:cs="Calibri" w:eastAsia="Calibri" w:hAnsi="Calibri"/>
          <w:b w:val="false"/>
          <w:bCs w:val="false"/>
          <w:i w:val="false"/>
          <w:iCs w:val="false"/>
          <w:color w:val="1A1A1A"/>
          <w:sz w:val="20"/>
          <w:szCs w:val="20"/>
        </w:rPr>
        <w:t xml:space="preserve">Ordering guaranteed only within a partition key (e.g. taxpayer/reference), never globally — design correlation accordingly.</w:t>
      </w:r>
    </w:p>
    <w:p>
      <w:pPr>
        <w:pStyle w:val="ListParagraph"/>
        <w:numPr>
          <w:ilvl w:val="0"/>
          <w:numId w:val="3"/>
        </w:numPr>
        <w:spacing w:after="70" w:line="258"/>
      </w:pPr>
      <w:r>
        <w:rPr>
          <w:rFonts w:ascii="Calibri" w:cs="Calibri" w:eastAsia="Calibri" w:hAnsi="Calibri"/>
          <w:b w:val="false"/>
          <w:bCs w:val="false"/>
          <w:i w:val="false"/>
          <w:iCs w:val="false"/>
          <w:color w:val="1A1A1A"/>
          <w:sz w:val="20"/>
          <w:szCs w:val="20"/>
        </w:rPr>
        <w:t xml:space="preserve">Poison messages route to a DLQ with enough context to replay; replay is a first-class, tested operation, not a fire drill.</w:t>
      </w:r>
    </w:p>
    <w:p>
      <w:pPr>
        <w:pStyle w:val="Heading2"/>
        <w:spacing w:after="90" w:before="220"/>
      </w:pPr>
      <w:r>
        <w:rPr>
          <w:rFonts w:ascii="Calibri" w:cs="Calibri" w:eastAsia="Calibri" w:hAnsi="Calibri"/>
          <w:b/>
          <w:bCs/>
          <w:color w:val="00B388"/>
          <w:sz w:val="24"/>
          <w:szCs w:val="24"/>
        </w:rPr>
        <w:t xml:space="preserve">5.4  Observability &amp; correlation</w:t>
      </w:r>
    </w:p>
    <w:p>
      <w:pPr>
        <w:spacing w:after="120" w:before="0" w:line="264"/>
        <w:jc w:val="left"/>
      </w:pPr>
      <w:r>
        <w:rPr>
          <w:rFonts w:ascii="Calibri" w:cs="Calibri" w:eastAsia="Calibri" w:hAnsi="Calibri"/>
          <w:b w:val="false"/>
          <w:bCs w:val="false"/>
          <w:i w:val="false"/>
          <w:iCs w:val="false"/>
          <w:color w:val="1A1A1A"/>
          <w:sz w:val="20"/>
          <w:szCs w:val="20"/>
        </w:rPr>
        <w:t xml:space="preserve">A correlation ID is minted at the ChRIS/gateway edge and propagated through every Boomi process and every HOD call, with end-to-end distributed tracing. For a government estate this is an audit and SLA capability, not a nice-to-have.</w:t>
      </w:r>
    </w:p>
    <w:p>
      <w:pPr>
        <w:pStyle w:val="Heading1"/>
        <w:spacing w:after="120" w:before="300"/>
      </w:pPr>
      <w:r>
        <w:rPr>
          <w:rFonts w:ascii="Calibri" w:cs="Calibri" w:eastAsia="Calibri" w:hAnsi="Calibri"/>
          <w:b/>
          <w:bCs/>
          <w:color w:val="003A2A"/>
          <w:sz w:val="30"/>
          <w:szCs w:val="30"/>
        </w:rPr>
        <w:t xml:space="preserve">6.  Where Boomi is — and isn’t — the right tool</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4680"/>
        <w:gridCol w:w="4680"/>
      </w:tblGrid>
      <w:tr>
        <w:trPr>
          <w:tblHeader/>
        </w:trPr>
        <w:tc>
          <w:tcPr>
            <w:tcW w:type="dxa" w:w="4680"/>
            <w:shd w:fill="003A2A" w:color="auto" w:val="clear"/>
            <w:tcMar>
              <w:top w:type="dxa" w:w="70"/>
              <w:left w:type="dxa" w:w="100"/>
              <w:bottom w:type="dxa" w:w="70"/>
              <w:right w:type="dxa" w:w="100"/>
            </w:tcMar>
          </w:tcPr>
          <w:p>
            <w:pPr>
              <w:spacing w:after="0"/>
            </w:pPr>
            <w:r>
              <w:rPr>
                <w:rFonts w:ascii="Calibri" w:cs="Calibri" w:eastAsia="Calibri" w:hAnsi="Calibri"/>
                <w:b/>
                <w:bCs/>
                <w:i w:val="false"/>
                <w:iCs w:val="false"/>
                <w:color w:val="FFFFFF"/>
                <w:sz w:val="18"/>
                <w:szCs w:val="18"/>
              </w:rPr>
              <w:t xml:space="preserve">Boomi is an excellent fit</w:t>
            </w:r>
          </w:p>
        </w:tc>
        <w:tc>
          <w:tcPr>
            <w:tcW w:type="dxa" w:w="4680"/>
            <w:shd w:fill="003A2A" w:color="auto" w:val="clear"/>
            <w:tcMar>
              <w:top w:type="dxa" w:w="70"/>
              <w:left w:type="dxa" w:w="100"/>
              <w:bottom w:type="dxa" w:w="70"/>
              <w:right w:type="dxa" w:w="100"/>
            </w:tcMar>
          </w:tcPr>
          <w:p>
            <w:pPr>
              <w:spacing w:after="0"/>
            </w:pPr>
            <w:r>
              <w:rPr>
                <w:rFonts w:ascii="Calibri" w:cs="Calibri" w:eastAsia="Calibri" w:hAnsi="Calibri"/>
                <w:b/>
                <w:bCs/>
                <w:i w:val="false"/>
                <w:iCs w:val="false"/>
                <w:color w:val="FFFFFF"/>
                <w:sz w:val="18"/>
                <w:szCs w:val="18"/>
              </w:rPr>
              <w:t xml:space="preserve">Push it elsewhere</w:t>
            </w:r>
          </w:p>
        </w:tc>
      </w:tr>
      <w:tr>
        <w:tc>
          <w:tcPr>
            <w:tcW w:type="dxa" w:w="468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00B388"/>
                <w:sz w:val="18"/>
                <w:szCs w:val="18"/>
              </w:rPr>
              <w:t xml:space="preserve">Orchestration, transformation, enrichment, routing</w:t>
            </w:r>
          </w:p>
        </w:tc>
        <w:tc>
          <w:tcPr>
            <w:tcW w:type="dxa" w:w="468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B4232B"/>
                <w:sz w:val="18"/>
                <w:szCs w:val="18"/>
              </w:rPr>
              <w:t xml:space="preserve">High-TPS synchronous API gateway → dedicated API management</w:t>
            </w:r>
          </w:p>
        </w:tc>
      </w:tr>
      <w:tr>
        <w:tc>
          <w:tcPr>
            <w:tcW w:type="dxa" w:w="468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00B388"/>
                <w:sz w:val="18"/>
                <w:szCs w:val="18"/>
              </w:rPr>
              <w:t xml:space="preserve">Protocol mediation &amp; the thin legacy (WM/ChRIS) boundary</w:t>
            </w:r>
          </w:p>
        </w:tc>
        <w:tc>
          <w:tcPr>
            <w:tcW w:type="dxa" w:w="468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B4232B"/>
                <w:sz w:val="18"/>
                <w:szCs w:val="18"/>
              </w:rPr>
              <w:t xml:space="preserve">Enterprise event backbone at scale → dedicated broker</w:t>
            </w:r>
          </w:p>
        </w:tc>
      </w:tr>
      <w:tr>
        <w:tc>
          <w:tcPr>
            <w:tcW w:type="dxa" w:w="468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00B388"/>
                <w:sz w:val="18"/>
                <w:szCs w:val="18"/>
              </w:rPr>
              <w:t xml:space="preserve">MFT and B2B / third-party file exchange</w:t>
            </w:r>
          </w:p>
        </w:tc>
        <w:tc>
          <w:tcPr>
            <w:tcW w:type="dxa" w:w="468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B4232B"/>
                <w:sz w:val="18"/>
                <w:szCs w:val="18"/>
              </w:rPr>
              <w:t xml:space="preserve">Ultra-low-latency (&lt;50ms) request paths → edge/serverless</w:t>
            </w:r>
          </w:p>
        </w:tc>
      </w:tr>
      <w:tr>
        <w:tc>
          <w:tcPr>
            <w:tcW w:type="dxa" w:w="468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00B388"/>
                <w:sz w:val="18"/>
                <w:szCs w:val="18"/>
              </w:rPr>
              <w:t xml:space="preserve">Integration-scoped eventing &amp; moderate-throughput pub/sub</w:t>
            </w:r>
          </w:p>
        </w:tc>
        <w:tc>
          <w:tcPr>
            <w:tcW w:type="dxa" w:w="4680"/>
            <w:shd w:fill="F3F6F5"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B4232B"/>
                <w:sz w:val="18"/>
                <w:szCs w:val="18"/>
              </w:rPr>
              <w:t xml:space="preserve">Large-volume analytical ETL/ELT → data platform + CDC</w:t>
            </w:r>
          </w:p>
        </w:tc>
      </w:tr>
      <w:tr>
        <w:tc>
          <w:tcPr>
            <w:tcW w:type="dxa" w:w="468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00B388"/>
                <w:sz w:val="18"/>
                <w:szCs w:val="18"/>
              </w:rPr>
              <w:t xml:space="preserve">Connector-rich A2A integration across the HOD estate</w:t>
            </w:r>
          </w:p>
        </w:tc>
        <w:tc>
          <w:tcPr>
            <w:tcW w:type="dxa" w:w="4680"/>
            <w:shd w:fill="FFFFFF" w:color="auto" w:val="clear"/>
            <w:tcMar>
              <w:top w:type="dxa" w:w="60"/>
              <w:left w:type="dxa" w:w="100"/>
              <w:bottom w:type="dxa" w:w="60"/>
              <w:right w:type="dxa" w:w="100"/>
            </w:tcMar>
            <w:vAlign w:val="top"/>
          </w:tcPr>
          <w:p>
            <w:pPr>
              <w:spacing w:after="0" w:line="244"/>
            </w:pPr>
            <w:r>
              <w:rPr>
                <w:rFonts w:ascii="Calibri" w:cs="Calibri" w:eastAsia="Calibri" w:hAnsi="Calibri"/>
                <w:b w:val="false"/>
                <w:bCs w:val="false"/>
                <w:i w:val="false"/>
                <w:iCs w:val="false"/>
                <w:color w:val="B4232B"/>
                <w:sz w:val="18"/>
                <w:szCs w:val="18"/>
              </w:rPr>
              <w:t xml:space="preserve">Long-term state / read models → owned datastore, not process cache</w:t>
            </w:r>
          </w:p>
        </w:tc>
      </w:tr>
    </w:tbl>
    <w:p>
      <w:pPr>
        <w:pBdr>
          <w:left w:val="single" w:color="00B388" w:sz="18"/>
        </w:pBdr>
        <w:shd w:fill="EAF6F1" w:color="auto" w:val="clear"/>
        <w:spacing w:after="120" w:before="80" w:line="258"/>
        <w:ind w:left="120"/>
      </w:pPr>
      <w:r>
        <w:rPr>
          <w:rFonts w:ascii="Calibri" w:cs="Calibri" w:eastAsia="Calibri" w:hAnsi="Calibri"/>
          <w:b/>
          <w:bCs/>
          <w:i w:val="false"/>
          <w:iCs w:val="false"/>
          <w:color w:val="00B388"/>
          <w:sz w:val="19"/>
          <w:szCs w:val="19"/>
        </w:rPr>
        <w:t xml:space="preserve">Honest framing.  </w:t>
      </w:r>
      <w:r>
        <w:rPr>
          <w:rFonts w:ascii="Calibri" w:cs="Calibri" w:eastAsia="Calibri" w:hAnsi="Calibri"/>
          <w:b w:val="false"/>
          <w:bCs w:val="false"/>
          <w:i w:val="false"/>
          <w:iCs w:val="false"/>
          <w:color w:val="1A1A1A"/>
          <w:sz w:val="19"/>
          <w:szCs w:val="19"/>
        </w:rPr>
        <w:t xml:space="preserve">This is not an argument against Boomi. It is an argument for Boomi as a first-class citizen of a portfolio rather than the single hammer for every nail. The catalogue is strongest when it says, per pattern, both “here’s the Boomi shape” and “…and here’s the tier that should really own this”.</w:t>
      </w:r>
    </w:p>
    <w:p>
      <w:pPr>
        <w:pStyle w:val="Heading1"/>
        <w:spacing w:after="120" w:before="300"/>
      </w:pPr>
      <w:r>
        <w:rPr>
          <w:rFonts w:ascii="Calibri" w:cs="Calibri" w:eastAsia="Calibri" w:hAnsi="Calibri"/>
          <w:b/>
          <w:bCs/>
          <w:color w:val="003A2A"/>
          <w:sz w:val="30"/>
          <w:szCs w:val="30"/>
        </w:rPr>
        <w:t xml:space="preserve">7.  Recommended next moves</w:t>
      </w:r>
    </w:p>
    <w:p>
      <w:pPr>
        <w:pStyle w:val="ListParagraph"/>
        <w:numPr>
          <w:ilvl w:val="0"/>
          <w:numId w:val="2"/>
        </w:numPr>
        <w:spacing w:after="70" w:line="258"/>
      </w:pPr>
      <w:r>
        <w:rPr>
          <w:rFonts w:ascii="Calibri" w:cs="Calibri" w:eastAsia="Calibri" w:hAnsi="Calibri"/>
          <w:b w:val="false"/>
          <w:bCs w:val="false"/>
          <w:i w:val="false"/>
          <w:iCs w:val="false"/>
          <w:color w:val="1A1A1A"/>
          <w:sz w:val="20"/>
          <w:szCs w:val="20"/>
        </w:rPr>
        <w:t xml:space="preserve">Re-label every catalogue row with a strategic status — Target / Bridge / Avoid — separate from “implementable in Boomi”.</w:t>
      </w:r>
    </w:p>
    <w:p>
      <w:pPr>
        <w:pStyle w:val="ListParagraph"/>
        <w:numPr>
          <w:ilvl w:val="0"/>
          <w:numId w:val="2"/>
        </w:numPr>
        <w:spacing w:after="70" w:line="258"/>
      </w:pPr>
      <w:r>
        <w:rPr>
          <w:rFonts w:ascii="Calibri" w:cs="Calibri" w:eastAsia="Calibri" w:hAnsi="Calibri"/>
          <w:b w:val="false"/>
          <w:bCs w:val="false"/>
          <w:i w:val="false"/>
          <w:iCs w:val="false"/>
          <w:color w:val="1A1A1A"/>
          <w:sz w:val="20"/>
          <w:szCs w:val="20"/>
        </w:rPr>
        <w:t xml:space="preserve">Refactor the catalogue to the 8 canonical patterns + modifiers; keep the legacy names only as an index into them.</w:t>
      </w:r>
    </w:p>
    <w:p>
      <w:pPr>
        <w:pStyle w:val="ListParagraph"/>
        <w:numPr>
          <w:ilvl w:val="0"/>
          <w:numId w:val="2"/>
        </w:numPr>
        <w:spacing w:after="70" w:line="258"/>
      </w:pPr>
      <w:r>
        <w:rPr>
          <w:rFonts w:ascii="Calibri" w:cs="Calibri" w:eastAsia="Calibri" w:hAnsi="Calibri"/>
          <w:b w:val="false"/>
          <w:bCs w:val="false"/>
          <w:i w:val="false"/>
          <w:iCs w:val="false"/>
          <w:color w:val="1A1A1A"/>
          <w:sz w:val="20"/>
          <w:szCs w:val="20"/>
        </w:rPr>
        <w:t xml:space="preserve">Resolve the Transactional Publish TBD with an Outbox + Saga reference pattern (candidate P-126/P-127).</w:t>
      </w:r>
    </w:p>
    <w:p>
      <w:pPr>
        <w:pStyle w:val="ListParagraph"/>
        <w:numPr>
          <w:ilvl w:val="0"/>
          <w:numId w:val="2"/>
        </w:numPr>
        <w:spacing w:after="70" w:line="258"/>
      </w:pPr>
      <w:r>
        <w:rPr>
          <w:rFonts w:ascii="Calibri" w:cs="Calibri" w:eastAsia="Calibri" w:hAnsi="Calibri"/>
          <w:b w:val="false"/>
          <w:bCs w:val="false"/>
          <w:i w:val="false"/>
          <w:iCs w:val="false"/>
          <w:color w:val="1A1A1A"/>
          <w:sz w:val="20"/>
          <w:szCs w:val="20"/>
        </w:rPr>
        <w:t xml:space="preserve">Take an explicit decision on the event backbone: Boomi Event Streams (integration-scoped) vs a dedicated broker (enterprise).</w:t>
      </w:r>
    </w:p>
    <w:p>
      <w:pPr>
        <w:pStyle w:val="ListParagraph"/>
        <w:numPr>
          <w:ilvl w:val="0"/>
          <w:numId w:val="2"/>
        </w:numPr>
        <w:spacing w:after="70" w:line="258"/>
      </w:pPr>
      <w:r>
        <w:rPr>
          <w:rFonts w:ascii="Calibri" w:cs="Calibri" w:eastAsia="Calibri" w:hAnsi="Calibri"/>
          <w:b w:val="false"/>
          <w:bCs w:val="false"/>
          <w:i w:val="false"/>
          <w:iCs w:val="false"/>
          <w:color w:val="1A1A1A"/>
          <w:sz w:val="20"/>
          <w:szCs w:val="20"/>
        </w:rPr>
        <w:t xml:space="preserve">Draw the API-gateway boundary: confirm P-101/P-102 sit behind a dedicated gateway, not as the gateway.</w:t>
      </w:r>
    </w:p>
    <w:p>
      <w:pPr>
        <w:pStyle w:val="ListParagraph"/>
        <w:numPr>
          <w:ilvl w:val="0"/>
          <w:numId w:val="2"/>
        </w:numPr>
        <w:spacing w:after="70" w:line="258"/>
      </w:pPr>
      <w:r>
        <w:rPr>
          <w:rFonts w:ascii="Calibri" w:cs="Calibri" w:eastAsia="Calibri" w:hAnsi="Calibri"/>
          <w:b w:val="false"/>
          <w:bCs w:val="false"/>
          <w:i w:val="false"/>
          <w:iCs w:val="false"/>
          <w:color w:val="1A1A1A"/>
          <w:sz w:val="20"/>
          <w:szCs w:val="20"/>
        </w:rPr>
        <w:t xml:space="preserve">Pilot one CQRS read model for a real cross-HOD query and measure availability/latency vs the synchronous P-105 baseline.</w:t>
      </w:r>
    </w:p>
    <w:p>
      <w:pPr>
        <w:pBdr>
          <w:top w:val="single" w:color="00B388" w:sz="8"/>
        </w:pBdr>
        <w:spacing w:before="260"/>
      </w:pPr>
      <w:r>
        <w:rPr>
          <w:rFonts w:ascii="Calibri" w:cs="Calibri" w:eastAsia="Calibri" w:hAnsi="Calibri"/>
          <w:b w:val="false"/>
          <w:bCs w:val="false"/>
          <w:i/>
          <w:iCs/>
          <w:color w:val="6B7280"/>
          <w:sz w:val="18"/>
          <w:szCs w:val="18"/>
        </w:rPr>
        <w:t xml:space="preserve">These positions are deliberately assertive so they can be tested in architecture review. Where a challenge doesn’t hold for a specific flow, that exception is itself a useful design decision to record against the pattern.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60"/>
      <w:jc w:val="center"/>
    </w:pPr>
    <w:r>
      <w:rPr>
        <w:rFonts w:ascii="Calibri" w:cs="Calibri" w:eastAsia="Calibri" w:hAnsi="Calibri"/>
        <w:b w:val="false"/>
        <w:bCs w:val="false"/>
        <w:i w:val="false"/>
        <w:iCs w:val="false"/>
        <w:color w:val="6B7280"/>
        <w:sz w:val="15"/>
        <w:szCs w:val="15"/>
      </w:rPr>
      <w:t xml:space="preserve">Working paper v0.1 · July 2026 · OFFICIAL — for internal architecture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0"/>
      <w:jc w:val="right"/>
    </w:pPr>
    <w:r>
      <w:rPr>
        <w:rFonts w:ascii="Calibri" w:cs="Calibri" w:eastAsia="Calibri" w:hAnsi="Calibri"/>
        <w:b w:val="false"/>
        <w:bCs w:val="false"/>
        <w:i w:val="false"/>
        <w:iCs w:val="false"/>
        <w:color w:val="6B7280"/>
        <w:sz w:val="16"/>
        <w:szCs w:val="16"/>
      </w:rPr>
      <w:t xml:space="preserve">HMRC · Integration Pattern Catalogue (iPaaS) — Strategic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00B388"/>
      </w:rPr>
    </w:lvl>
  </w:abstractNum>
  <w:abstractNum w:abstractNumId="3" w15:restartNumberingAfterBreak="0">
    <w:multiLevelType w:val="hybridMultilevel"/>
    <w:lvl w:ilvl="0" w15:tentative="1">
      <w:start w:val="1"/>
      <w:numFmt w:val="decimal"/>
      <w:lvlText w:val="%1."/>
      <w:lvlJc w:val="left"/>
      <w:pPr>
        <w:ind w:left="360" w:hanging="260"/>
      </w:pPr>
      <w:rPr>
        <w:b/>
        <w:bCs/>
        <w:color w:val="00B38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Integration Direction</dc:title>
  <dc:creator>HMRC Boomi Catalogue</dc:creator>
  <dc:description>Strategic companion to the HMRC Boomi Integration Pattern Catalogue</dc:description>
  <cp:lastModifiedBy>Un-named</cp:lastModifiedBy>
  <cp:revision>1</cp:revision>
  <dcterms:created xsi:type="dcterms:W3CDTF">2026-07-01T12:54:58.545Z</dcterms:created>
  <dcterms:modified xsi:type="dcterms:W3CDTF">2026-07-01T12:54:58.545Z</dcterms:modified>
</cp:coreProperties>
</file>

<file path=docProps/custom.xml><?xml version="1.0" encoding="utf-8"?>
<Properties xmlns="http://schemas.openxmlformats.org/officeDocument/2006/custom-properties" xmlns:vt="http://schemas.openxmlformats.org/officeDocument/2006/docPropsVTypes"/>
</file>