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05A5F"/>
          <w:sz w:val="16"/>
          <w:szCs w:val="16"/>
        </w:rPr>
        <w:t xml:space="preserve">OFFICIAL</w:t>
      </w:r>
    </w:p>
    <w:p>
      <w:pPr>
        <w:spacing w:after="20" w:before="120"/>
      </w:pPr>
      <w:r>
        <w:rPr>
          <w:b/>
          <w:bCs/>
          <w:sz w:val="40"/>
          <w:szCs w:val="40"/>
        </w:rPr>
        <w:t xml:space="preserve">Managed File Transfer on Boomi, MVP Brief</w:t>
      </w:r>
    </w:p>
    <w:p>
      <w:pPr>
        <w:spacing w:after="60"/>
      </w:pPr>
      <w:r>
        <w:rPr>
          <w:b/>
          <w:bCs/>
          <w:color w:val="1D70B8"/>
          <w:sz w:val="22"/>
          <w:szCs w:val="22"/>
        </w:rPr>
        <w:t xml:space="preserve">Candidate: ADR.040 Migrant Workers Scan, dual-leg proof</w:t>
      </w:r>
    </w:p>
    <w:p>
      <w:pPr>
        <w:spacing w:after="200"/>
      </w:pPr>
      <w:r>
        <w:rPr>
          <w:color w:val="505A5F"/>
          <w:sz w:val="16"/>
          <w:szCs w:val="16"/>
        </w:rPr>
        <w:t xml:space="preserve">v0.2   |   Draft for Design Authority review   |   8 September 2026   |   Integration Architecture   |   Integration Catalogue Programme</w:t>
      </w:r>
    </w:p>
    <w:p>
      <w:pPr>
        <w:spacing w:after="40" w:before="120"/>
        <w:jc w:val="center"/>
      </w:pPr>
      <w:r>
        <w:drawing>
          <wp:inline distT="0" distB="0" distL="0" distR="0">
            <wp:extent cx="5905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33600"/>
                    </a:xfrm>
                    <a:prstGeom prst="rect">
                      <a:avLst/>
                    </a:prstGeom>
                  </pic:spPr>
                </pic:pic>
              </a:graphicData>
            </a:graphic>
          </wp:inline>
        </w:drawing>
      </w:r>
    </w:p>
    <w:p>
      <w:pPr>
        <w:spacing w:after="140"/>
        <w:jc w:val="center"/>
      </w:pPr>
      <w:r>
        <w:rPr>
          <w:i/>
          <w:iCs/>
          <w:color w:val="505A5F"/>
          <w:sz w:val="15"/>
          <w:szCs w:val="15"/>
        </w:rPr>
        <w:t xml:space="preserve">Target state. Boomi MFT owns the two boundary movements. Leg A replaces UTM into the landing area; leg B goes direct to ONS and removes the insecure hop. The internal Maestro chain is unchanged.</w:t>
      </w:r>
    </w:p>
    <w:p>
      <w:pPr>
        <w:pStyle w:val="Heading1"/>
        <w:keepNext/>
        <w:spacing w:after="70" w:before="160"/>
      </w:pPr>
      <w:r>
        <w:t xml:space="preserve">1. Goal</w:t>
      </w:r>
    </w:p>
    <w:p>
      <w:pPr>
        <w:spacing w:after="100"/>
      </w:pPr>
      <w:r>
        <w:rPr>
          <w:sz w:val="19"/>
          <w:szCs w:val="19"/>
        </w:rPr>
        <w:t xml:space="preserve">Prove on live infrastructure, with a real production feed, that Boomi MFT can carry a scheduled file transfer across both trust boundaries the platform must serve, delivered as configuration rather than as a new build. Nothing else.</w:t>
      </w:r>
    </w:p>
    <w:p>
      <w:pPr>
        <w:spacing w:after="100"/>
      </w:pPr>
      <w:r>
        <w:rPr>
          <w:sz w:val="19"/>
          <w:szCs w:val="19"/>
        </w:rPr>
        <w:t xml:space="preserve">The MVP closes with a go, go-with-conditions or no-go recommendation backed by an auditable evidence pack. It answers five questions and no others:</w:t>
      </w:r>
    </w:p>
    <w:p>
      <w:pPr>
        <w:pStyle w:val="ListParagraph"/>
        <w:numPr>
          <w:ilvl w:val="0"/>
          <w:numId w:val="2"/>
        </w:numPr>
        <w:spacing w:after="50"/>
      </w:pPr>
      <w:r>
        <w:rPr>
          <w:sz w:val="19"/>
          <w:szCs w:val="19"/>
        </w:rPr>
        <w:t xml:space="preserve">Can Boomi MFT move a file internal to internal without a bespoke component?</w:t>
      </w:r>
    </w:p>
    <w:p>
      <w:pPr>
        <w:pStyle w:val="ListParagraph"/>
        <w:numPr>
          <w:ilvl w:val="0"/>
          <w:numId w:val="2"/>
        </w:numPr>
        <w:spacing w:after="50"/>
      </w:pPr>
      <w:r>
        <w:rPr>
          <w:sz w:val="19"/>
          <w:szCs w:val="19"/>
        </w:rPr>
        <w:t xml:space="preserve">Can the same engine, plus one more configuration row, move a file internal to external to another government department?</w:t>
      </w:r>
    </w:p>
    <w:p>
      <w:pPr>
        <w:pStyle w:val="ListParagraph"/>
        <w:numPr>
          <w:ilvl w:val="0"/>
          <w:numId w:val="2"/>
        </w:numPr>
        <w:spacing w:after="50"/>
      </w:pPr>
      <w:r>
        <w:rPr>
          <w:sz w:val="19"/>
          <w:szCs w:val="19"/>
        </w:rPr>
        <w:t xml:space="preserve">Do the security controls for an OFFICIAL feed holding personal data hold, with no waiver?</w:t>
      </w:r>
    </w:p>
    <w:p>
      <w:pPr>
        <w:pStyle w:val="ListParagraph"/>
        <w:numPr>
          <w:ilvl w:val="0"/>
          <w:numId w:val="2"/>
        </w:numPr>
        <w:spacing w:after="50"/>
      </w:pPr>
      <w:r>
        <w:rPr>
          <w:sz w:val="19"/>
          <w:szCs w:val="19"/>
        </w:rPr>
        <w:t xml:space="preserve">Will Service Operations accept the flow into support on the evidence produced?</w:t>
      </w:r>
    </w:p>
    <w:p>
      <w:pPr>
        <w:pStyle w:val="ListParagraph"/>
        <w:numPr>
          <w:ilvl w:val="0"/>
          <w:numId w:val="2"/>
        </w:numPr>
        <w:spacing w:after="50"/>
      </w:pPr>
      <w:r>
        <w:rPr>
          <w:sz w:val="19"/>
          <w:szCs w:val="19"/>
        </w:rPr>
        <w:t xml:space="preserve">What is the measured onboarding effort, split between configuration and waiting?</w:t>
      </w:r>
    </w:p>
    <w:p>
      <w:pPr>
        <w:pBdr>
          <w:left w:val="single" w:color="1D70B8" w:sz="14"/>
        </w:pBdr>
        <w:shd w:fill="F0F6FB" w:color="auto" w:val="clear"/>
        <w:spacing w:after="140" w:before="100"/>
        <w:ind w:left="150"/>
      </w:pPr>
      <w:r>
        <w:rPr>
          <w:i/>
          <w:iCs/>
          <w:sz w:val="19"/>
          <w:szCs w:val="19"/>
        </w:rPr>
        <w:t xml:space="preserve">Not in the MVP: cost comparison against the incumbent, target operating model, self-service portal, throughput at scale, or decommissioning UTM, the IF server or SDES. Claims of that kind would not be supportable by this evidence.</w:t>
      </w:r>
    </w:p>
    <w:p>
      <w:pPr>
        <w:pStyle w:val="Heading1"/>
        <w:keepNext/>
        <w:spacing w:after="70" w:before="160"/>
      </w:pPr>
      <w:r>
        <w:t xml:space="preserve">2. Candidate</w:t>
      </w:r>
    </w:p>
    <w:p>
      <w:pPr>
        <w:spacing w:after="100"/>
      </w:pPr>
      <w:r>
        <w:rPr>
          <w:sz w:val="19"/>
          <w:szCs w:val="19"/>
        </w:rPr>
        <w:t xml:space="preserve">ADR.040 is the only feed identified that contains both required patterns in a single business flow, with one dataset, one owner community and one test cycle. One onboarding exercise yields evidence for both cases.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680"/>
        <w:gridCol w:w="7626"/>
      </w:tblGrid>
      <w:tr>
        <w:trPr>
          <w:tblHeader/>
        </w:trPr>
        <w:tc>
          <w:tcPr>
            <w:tcW w:type="dxa" w:w="268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Attribute</w:t>
            </w:r>
          </w:p>
        </w:tc>
        <w:tc>
          <w:tcPr>
            <w:tcW w:type="dxa" w:w="7626"/>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Value</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Feed</w:t>
            </w:r>
          </w:p>
        </w:tc>
        <w:tc>
          <w:tcPr>
            <w:tcW w:type="dxa" w:w="76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ADR.040, Inbound Migrant Workers, NPS to ADR, then ADR to ONS</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Volume and frequency</w:t>
            </w:r>
          </w:p>
        </w:tc>
        <w:tc>
          <w:tcPr>
            <w:tcW w:type="dxa" w:w="76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file per cycle, quarterly, first day of January, April, July and October</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Classification</w:t>
            </w:r>
          </w:p>
        </w:tc>
        <w:tc>
          <w:tcPr>
            <w:tcW w:type="dxa" w:w="76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OFFICIAL, assumed to contain personal data pending confirmation (D-01)</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Today, leg A</w:t>
            </w:r>
          </w:p>
        </w:tc>
        <w:tc>
          <w:tcPr>
            <w:tcW w:type="dxa" w:w="76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UTM transfer into the NPS file landing area</w:t>
            </w:r>
          </w:p>
        </w:tc>
      </w:tr>
      <w:tr>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Today, leg B</w:t>
            </w:r>
          </w:p>
        </w:tc>
        <w:tc>
          <w:tcPr>
            <w:tcW w:type="dxa" w:w="762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Maestro job 5 to an Insecure IF server, then SDES, then ONS</w:t>
            </w:r>
          </w:p>
        </w:tc>
      </w:tr>
    </w:tbl>
    <w:p>
      <w:pPr>
        <w:spacing w:after="4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721"/>
        <w:gridCol w:w="1752"/>
        <w:gridCol w:w="3092"/>
        <w:gridCol w:w="4741"/>
      </w:tblGrid>
      <w:tr>
        <w:trPr>
          <w:tblHeader/>
        </w:trPr>
        <w:tc>
          <w:tcPr>
            <w:tcW w:type="dxa" w:w="72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Leg</w:t>
            </w:r>
          </w:p>
        </w:tc>
        <w:tc>
          <w:tcPr>
            <w:tcW w:type="dxa" w:w="175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Pattern</w:t>
            </w:r>
          </w:p>
        </w:tc>
        <w:tc>
          <w:tcPr>
            <w:tcW w:type="dxa" w:w="309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Movement</w:t>
            </w:r>
          </w:p>
        </w:tc>
        <w:tc>
          <w:tcPr>
            <w:tcW w:type="dxa" w:w="474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it proves</w:t>
            </w:r>
          </w:p>
        </w:tc>
      </w:tr>
      <w:tr>
        <w:tc>
          <w:tcPr>
            <w:tcW w:type="dxa" w:w="72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w:t>
            </w:r>
          </w:p>
        </w:tc>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internal</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Source extract into the ADR landing area, replacing UTM</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Runtime placement, internal reachability, scheduling, credential sourcing and clean handover into the existing Maestro chain</w:t>
            </w:r>
          </w:p>
        </w:tc>
      </w:tr>
      <w:tr>
        <w:tc>
          <w:tcPr>
            <w:tcW w:type="dxa" w:w="72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w:t>
            </w:r>
          </w:p>
        </w:tc>
        <w:tc>
          <w:tcPr>
            <w:tcW w:type="dxa" w:w="175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Internal to external</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MWS file output area direct to the ONS endpoint, removing the IF server hop</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Egress control, firewall change and allow-listing both directions, transport security, acknowledgement, and removal of an insecure hop</w:t>
            </w:r>
          </w:p>
        </w:tc>
      </w:tr>
    </w:tbl>
    <w:p>
      <w:pPr>
        <w:spacing w:after="40"/>
      </w:pPr>
    </w:p>
    <w:p>
      <w:pPr>
        <w:pStyle w:val="Heading2"/>
        <w:spacing w:after="60" w:before="140"/>
      </w:pPr>
      <w:r>
        <w:t xml:space="preserve">Why it was chosen, and its one weakness</w:t>
      </w:r>
    </w:p>
    <w:p>
      <w:pPr>
        <w:pStyle w:val="ListParagraph"/>
        <w:numPr>
          <w:ilvl w:val="0"/>
          <w:numId w:val="3"/>
        </w:numPr>
        <w:spacing w:after="50"/>
      </w:pPr>
      <w:r>
        <w:rPr>
          <w:sz w:val="19"/>
          <w:szCs w:val="19"/>
        </w:rPr>
        <w:t xml:space="preserve">Dual-pattern in one feed, so the calendar cost of proving the platform halves.</w:t>
      </w:r>
    </w:p>
    <w:p>
      <w:pPr>
        <w:pStyle w:val="ListParagraph"/>
        <w:numPr>
          <w:ilvl w:val="0"/>
          <w:numId w:val="3"/>
        </w:numPr>
        <w:spacing w:after="50"/>
      </w:pPr>
      <w:r>
        <w:rPr>
          <w:sz w:val="19"/>
          <w:szCs w:val="19"/>
        </w:rPr>
        <w:t xml:space="preserve">Trivial volume, so the MVP tests correctness and control rather than throughput, which is the right thing to test first.</w:t>
      </w:r>
    </w:p>
    <w:p>
      <w:pPr>
        <w:pStyle w:val="ListParagraph"/>
        <w:numPr>
          <w:ilvl w:val="0"/>
          <w:numId w:val="3"/>
        </w:numPr>
        <w:spacing w:after="50"/>
      </w:pPr>
      <w:r>
        <w:rPr>
          <w:sz w:val="19"/>
          <w:szCs w:val="19"/>
        </w:rPr>
        <w:t xml:space="preserve">Removing the insecure hop is a security benefit that stands independent of the platform decision.</w:t>
      </w:r>
    </w:p>
    <w:p>
      <w:pPr>
        <w:pStyle w:val="ListParagraph"/>
        <w:numPr>
          <w:ilvl w:val="0"/>
          <w:numId w:val="3"/>
        </w:numPr>
        <w:spacing w:after="50"/>
      </w:pPr>
      <w:r>
        <w:rPr>
          <w:sz w:val="19"/>
          <w:szCs w:val="19"/>
        </w:rPr>
        <w:t xml:space="preserve">Both endpoints are already in production, so nothing is gated on a new system.</w:t>
      </w:r>
    </w:p>
    <w:p>
      <w:pPr>
        <w:pStyle w:val="ListParagraph"/>
        <w:numPr>
          <w:ilvl w:val="0"/>
          <w:numId w:val="3"/>
        </w:numPr>
        <w:spacing w:after="50"/>
      </w:pPr>
      <w:r>
        <w:rPr>
          <w:sz w:val="19"/>
          <w:szCs w:val="19"/>
        </w:rPr>
        <w:t xml:space="preserve">Weakness, stated plainly: a quarterly feed gives one natural run inside any sensible window. Controlled replay carries the volume of evidence; the single natural run carries the realism. Reviewers must not read replay evidence as production-cycle evidence.</w:t>
      </w:r>
    </w:p>
    <w:p>
      <w:pPr>
        <w:pStyle w:val="Heading1"/>
        <w:keepNext/>
        <w:spacing w:after="70" w:before="160"/>
      </w:pPr>
      <w:r>
        <w:t xml:space="preserve">3. Target state</w:t>
      </w:r>
    </w:p>
    <w:p>
      <w:pPr>
        <w:spacing w:after="100"/>
      </w:pPr>
      <w:r>
        <w:rPr>
          <w:sz w:val="19"/>
          <w:szCs w:val="19"/>
        </w:rPr>
        <w:t xml:space="preserve">Boomi MFT owns the two boundary movements and nothing else. The internal Maestro staging and extraction chain is untouched. Leg A delivers into the NPS file landing area and the existing chain proceeds unchanged; leg B collects from the MWS file output area and delivers straight to ONS.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3916"/>
        <w:gridCol w:w="6390"/>
      </w:tblGrid>
      <w:tr>
        <w:trPr>
          <w:tblHeader/>
        </w:trPr>
        <w:tc>
          <w:tcPr>
            <w:tcW w:type="dxa" w:w="3916"/>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Constraint</w:t>
            </w:r>
          </w:p>
        </w:tc>
        <w:tc>
          <w:tcPr>
            <w:tcW w:type="dxa" w:w="639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Consequence</w:t>
            </w:r>
          </w:p>
        </w:tc>
      </w:tr>
      <w:tr>
        <w:tc>
          <w:tcPr>
            <w:tcW w:type="dxa" w:w="391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Config over construction: one generic engine, interfaces are configuration rows</w:t>
            </w:r>
          </w:p>
        </w:tc>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Two rows only. Any need for a bespoke component is recorded as an MVP failure, not worked around</w:t>
            </w:r>
          </w:p>
        </w:tc>
      </w:tr>
      <w:tr>
        <w:tc>
          <w:tcPr>
            <w:tcW w:type="dxa" w:w="391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Boomi MFT complements the incumbent estate rather than replacing it</w:t>
            </w:r>
          </w:p>
        </w:tc>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MVP runs in parallel and does not require the incumbent path to be switched off to be judged</w:t>
            </w:r>
          </w:p>
        </w:tc>
      </w:tr>
      <w:tr>
        <w:tc>
          <w:tcPr>
            <w:tcW w:type="dxa" w:w="391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Visibility is a feature</w:t>
            </w:r>
          </w:p>
        </w:tc>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Audit and alerting are pass or fail criteria, not nice to have</w:t>
            </w:r>
          </w:p>
        </w:tc>
      </w:tr>
      <w:tr>
        <w:tc>
          <w:tcPr>
            <w:tcW w:type="dxa" w:w="391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 native config promotion pipeline (G-13)</w:t>
            </w:r>
          </w:p>
        </w:tc>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Promotion is manual and evidenced. The MVP proves the gap, it does not solve it</w:t>
            </w:r>
          </w:p>
        </w:tc>
      </w:tr>
      <w:tr>
        <w:tc>
          <w:tcPr>
            <w:tcW w:type="dxa" w:w="391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 documented path to enterprise secrets (G-14)</w:t>
            </w:r>
          </w:p>
        </w:tc>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Attempt it, record the outcome, document the interim control with an owner and review date</w:t>
            </w:r>
          </w:p>
        </w:tc>
      </w:tr>
      <w:tr>
        <w:tc>
          <w:tcPr>
            <w:tcW w:type="dxa" w:w="3916"/>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Anti-virus scan ceiling around 250 MB (G-15)</w:t>
            </w:r>
          </w:p>
        </w:tc>
        <w:tc>
          <w:tcPr>
            <w:tcW w:type="dxa" w:w="639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Measure file size at the October observation. If close to the ceiling, pull the large-file decision forward</w:t>
            </w:r>
          </w:p>
        </w:tc>
      </w:tr>
    </w:tbl>
    <w:p>
      <w:pPr>
        <w:spacing w:after="40"/>
      </w:pPr>
    </w:p>
    <w:p>
      <w:pPr>
        <w:pStyle w:val="Heading1"/>
        <w:keepNext/>
        <w:spacing w:after="70" w:before="160"/>
      </w:pPr>
      <w:r>
        <w:t xml:space="preserve">4. Steps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267"/>
        <w:gridCol w:w="4947"/>
        <w:gridCol w:w="3092"/>
      </w:tblGrid>
      <w:tr>
        <w:trPr>
          <w:tblHeader/>
        </w:trPr>
        <w:tc>
          <w:tcPr>
            <w:tcW w:type="dxa" w:w="226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Workstream</w:t>
            </w:r>
          </w:p>
        </w:tc>
        <w:tc>
          <w:tcPr>
            <w:tcW w:type="dxa" w:w="4947"/>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What happens</w:t>
            </w:r>
          </w:p>
        </w:tc>
        <w:tc>
          <w:tcPr>
            <w:tcW w:type="dxa" w:w="309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Gate to pass</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WS-1 Discovery</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Complete the onboarding specification for both legs. Confirm classification and DPIA position. Name every contact. Observe the 1 October cycle for baseline size, timing and file name. Obtain a representative anonymised file.</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Specification signed, contacts named</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WS-2 Connectivity</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Agree runtime placement. Raise both firewall and allow-list changes. Agree the ONS endpoint, host key and credential exchange. Attempt enterprise secrets sourcing. Confirm scanning behaviour.</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Reachability proven both directions before any flow is configured</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WS-3 Configuration</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Build MFT-INT-001 and MFT-EXT-001 as configuration rows against the generic engine. Configure alerting on non-arrival, transfer failure, scan failure and destination rejection.</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Engine gap log empty</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WS-4 Test</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Replay both legs across happy path, file absent, late arrival, zero byte, duplicate, oversized, scan failure, destination unavailable, credential rejection and partial transfer. Reconcile against the incumbent. Interrupt and resume. Promote manually between environments.</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Evidence pack complete, no unexplained failure</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WS-5 Parallel run</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Execute both legs on the 1 January 2027 natural cycle alongside the incumbent, which stays authoritative. Reconcile output and the ONS acknowledgement.</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Byte for byte match, ONS confirms no difference</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WS-6 Readiness</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Produce runbook, alert catalogue, failure modes and escalation. Walk Service Operations through a live failure and recovery. Agree and time the rollback.</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Signed operations acceptance</w:t>
            </w:r>
          </w:p>
        </w:tc>
      </w:tr>
      <w:tr>
        <w:tc>
          <w:tcPr>
            <w:tcW w:type="dxa" w:w="226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WS-7 Assessment</w:t>
            </w:r>
          </w:p>
        </w:tc>
        <w:tc>
          <w:tcPr>
            <w:tcW w:type="dxa" w:w="4947"/>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Assess every criterion with evidence referenced. Consolidate the measured effort record. Issue the recommendation.</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Closure report with named conditions and owners</w:t>
            </w:r>
          </w:p>
        </w:tc>
      </w:tr>
    </w:tbl>
    <w:p>
      <w:pPr>
        <w:spacing w:after="40"/>
      </w:pPr>
    </w:p>
    <w:p>
      <w:pPr>
        <w:pStyle w:val="Heading1"/>
        <w:keepNext/>
        <w:spacing w:after="70" w:before="160"/>
      </w:pPr>
      <w:r>
        <w:t xml:space="preserve">5. Dependencies</w:t>
      </w:r>
    </w:p>
    <w:p>
      <w:pPr>
        <w:spacing w:after="100"/>
      </w:pPr>
      <w:r>
        <w:rPr>
          <w:sz w:val="19"/>
          <w:szCs w:val="19"/>
        </w:rPr>
        <w:t xml:space="preserve">Lead time is elapsed time from request to usable, not effort. Configuration effort is small; dependency lead time is what determines when the MVP can conclude. Raise the critical path on day one.</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824"/>
        <w:gridCol w:w="4741"/>
        <w:gridCol w:w="2680"/>
        <w:gridCol w:w="2061"/>
      </w:tblGrid>
      <w:tr>
        <w:trPr>
          <w:tblHeader/>
        </w:trPr>
        <w:tc>
          <w:tcPr>
            <w:tcW w:type="dxa" w:w="82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474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Dependency</w:t>
            </w:r>
          </w:p>
        </w:tc>
        <w:tc>
          <w:tcPr>
            <w:tcW w:type="dxa" w:w="268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Owning role</w:t>
            </w:r>
          </w:p>
        </w:tc>
        <w:tc>
          <w:tcPr>
            <w:tcW w:type="dxa" w:w="206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Lead time</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DEP-01</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ONS receiving contact and agreement to receive from a new sending endpoint</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Cross-department liaison</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4 to 6 weeks, critical path</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DEP-02</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Inbound and outbound firewall and allow-list changes, both legs</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Network security</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4 to 8 weeks, critical path</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DEP-03</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Complete source and destination endpoint specifications, including host key and credentials</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Source system owner and ONS</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 to 4 weeks, critical path</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DEP-04</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Named feed owner with authority to approve the change of transfer mechanism</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Warehouse feed owner, ADR</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week</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DEP-05</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Runtime capacity and placement approval</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 weeks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DEP-06</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 provisioning and a decision on enterprise secrets against G-14</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architecture</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weeks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DEP-07</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Scanning coverage and the position on the scan ceiling, G-15</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operations</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 weeks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DEP-08</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Representative anonymised or synthetic test file</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Warehouse feed owner, ADR</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2 weeks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DEP-09</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Non-production environment with realistic network topology, not a flat sandbox</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weeks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DEP-10</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Confirmation of classification and the DPIA position</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Information governance</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3 weeks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DEP-11</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 engagement and acceptance of the support model</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Ongoing</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DEP-12</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Agreement that the incumbent paths stay live throughout, including during the parallel run</w:t>
            </w:r>
          </w:p>
        </w:tc>
        <w:tc>
          <w:tcPr>
            <w:tcW w:type="dxa" w:w="268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Incumbent service owner</w:t>
            </w:r>
          </w:p>
        </w:tc>
        <w:tc>
          <w:tcPr>
            <w:tcW w:type="dxa" w:w="206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week</w:t>
            </w:r>
          </w:p>
        </w:tc>
      </w:tr>
    </w:tbl>
    <w:p>
      <w:pPr>
        <w:spacing w:after="40"/>
      </w:pPr>
    </w:p>
    <w:p>
      <w:pPr>
        <w:pStyle w:val="Heading1"/>
        <w:keepNext/>
        <w:spacing w:after="70" w:before="160"/>
      </w:pPr>
      <w:r>
        <w:t xml:space="preserve">6. Success criteria</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824"/>
        <w:gridCol w:w="4329"/>
        <w:gridCol w:w="5153"/>
      </w:tblGrid>
      <w:tr>
        <w:trPr>
          <w:tblHeader/>
        </w:trPr>
        <w:tc>
          <w:tcPr>
            <w:tcW w:type="dxa" w:w="82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432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Criterion</w:t>
            </w:r>
          </w:p>
        </w:tc>
        <w:tc>
          <w:tcPr>
            <w:tcW w:type="dxa" w:w="515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Threshold</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SC-01</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A delivers into the NPS file landing area</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Three consecutive successful replays plus one parallel run, byte identical</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SC-02</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Leg B delivers to the ONS endpoint</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Three consecutive successful replays plus one parallel run, each acknowledged</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SC-03</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Maestro chain runs unchanged after Boomi delivers</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Zero job definition changes, chain completes with no manual intervention</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SC-04</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IF server hop is absent</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Path trace shows no traversal</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SC-05</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Non-arrival is detected and escalated, not silent</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Alert raised within the agreed maximum wait, routed to a named queue, evidenced in test</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SC-06</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Archive, quarantine and retention behave as configured</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 failed file quarantines and never reaches the destination; a good file archives and expires on schedule</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SC-07</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One correlated audit record per transfer</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Source, destination, size, checksum, timestamps, outcome, operator identity</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SC-08</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Anti-virus scanning applied and enforced</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Infected test file blocked and quarantined; behaviour at the ceiling documented</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SC-09</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Credentials are not held in flow configuration in clear</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Sourcing route documented, or interim control with named owner and review date</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SC-10</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Transport security acceptable for an OFFICIAL cross-boundary feed</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Protocol, cipher and key exchange recorded and confirmed by security architecture</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SC-11</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legs delivered as configuration rows only</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Zero bespoke components, engine gap log empty. A non-empty log is a material finding</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SC-12</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Onboarding effort measured, not estimated</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Hours per step, split between configuration effort and waiting on dependencies</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SC-13</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Service Operations accepts the flows into support</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Signed acceptance after a live failure and recovery walkthrough</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SC-14</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Rollback proven, not assumed</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Executed and timed at least once in a non-production environment</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SC-15</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Parallel run reconciles with the incumbent</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Byte for byte match and ONS confirms no difference</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SC-16</w:t>
            </w:r>
          </w:p>
        </w:tc>
        <w:tc>
          <w:tcPr>
            <w:tcW w:type="dxa" w:w="432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gaps evidenced, not worked around</w:t>
            </w:r>
          </w:p>
        </w:tc>
        <w:tc>
          <w:tcPr>
            <w:tcW w:type="dxa" w:w="515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G-13, G-14 and G-15 each carry a written impact statement with a named owner</w:t>
            </w:r>
          </w:p>
        </w:tc>
      </w:tr>
    </w:tbl>
    <w:p>
      <w:pPr>
        <w:spacing w:after="40"/>
      </w:pPr>
    </w:p>
    <w:p>
      <w:pPr>
        <w:pStyle w:val="Heading1"/>
        <w:keepNext/>
        <w:spacing w:after="70" w:before="160"/>
      </w:pPr>
      <w:r>
        <w:t xml:space="preserve">7. Exit decision</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73"/>
        <w:gridCol w:w="7833"/>
      </w:tblGrid>
      <w:tr>
        <w:trPr>
          <w:tblHeader/>
        </w:trPr>
        <w:tc>
          <w:tcPr>
            <w:tcW w:type="dxa" w:w="247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Outcome</w:t>
            </w:r>
          </w:p>
        </w:tc>
        <w:tc>
          <w:tcPr>
            <w:tcW w:type="dxa" w:w="783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Condition</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Go</w:t>
            </w:r>
          </w:p>
        </w:tc>
        <w:tc>
          <w:tcPr>
            <w:tcW w:type="dxa" w:w="78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SC-01 to SC-08, SC-11, SC-13 and SC-15 met. Anything remaining is partially met with a named owner and a date.</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Go with conditions</w:t>
            </w:r>
          </w:p>
        </w:tc>
        <w:tc>
          <w:tcPr>
            <w:tcW w:type="dxa" w:w="78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All functional criteria met but one or more of SC-09, SC-10, SC-14 or SC-16 unresolved. Conditions listed with owners and review dates; wider onboarding capped until they close.</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 go</w:t>
            </w:r>
          </w:p>
        </w:tc>
        <w:tc>
          <w:tcPr>
            <w:tcW w:type="dxa" w:w="783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SC-11 not met, meaning the platform required bespoke construction per interface; or SC-01 or SC-02 not met; or a security criterion needs a waiver.</w:t>
            </w:r>
          </w:p>
        </w:tc>
      </w:tr>
    </w:tbl>
    <w:p>
      <w:pPr>
        <w:spacing w:after="40"/>
      </w:pPr>
    </w:p>
    <w:p>
      <w:pPr>
        <w:pBdr>
          <w:left w:val="single" w:color="1D70B8" w:sz="14"/>
        </w:pBdr>
        <w:shd w:fill="F0F6FB" w:color="auto" w:val="clear"/>
        <w:spacing w:after="140" w:before="100"/>
        <w:ind w:left="150"/>
      </w:pPr>
      <w:r>
        <w:rPr>
          <w:i/>
          <w:iCs/>
          <w:sz w:val="19"/>
          <w:szCs w:val="19"/>
        </w:rPr>
        <w:t xml:space="preserve">SC-11 decides it. If two structurally similar transfers cannot both be delivered as configuration against one engine, config over construction does not hold in practice and the onboarding economics behind the wider programme do not follow.</w:t>
      </w:r>
    </w:p>
    <w:p>
      <w:pPr>
        <w:pStyle w:val="Heading1"/>
        <w:keepNext/>
        <w:spacing w:after="70" w:before="160"/>
      </w:pPr>
      <w:r>
        <w:t xml:space="preserve">8. Timeline</w:t>
      </w:r>
    </w:p>
    <w:p>
      <w:pPr>
        <w:spacing w:after="100"/>
      </w:pPr>
      <w:r>
        <w:rPr>
          <w:sz w:val="19"/>
          <w:szCs w:val="19"/>
        </w:rPr>
        <w:t xml:space="preserve">Anchored on dependency lead times, not on optimism. The plan deliberately does not target the 1 October 2026 cycle, because cross-department agreement and firewall change cannot compress into three weeks.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2473"/>
        <w:gridCol w:w="4741"/>
        <w:gridCol w:w="3092"/>
      </w:tblGrid>
      <w:tr>
        <w:trPr>
          <w:tblHeader/>
        </w:trPr>
        <w:tc>
          <w:tcPr>
            <w:tcW w:type="dxa" w:w="247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Window</w:t>
            </w:r>
          </w:p>
        </w:tc>
        <w:tc>
          <w:tcPr>
            <w:tcW w:type="dxa" w:w="4741"/>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Focus</w:t>
            </w:r>
          </w:p>
        </w:tc>
        <w:tc>
          <w:tcPr>
            <w:tcW w:type="dxa" w:w="309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Milestone</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Weeks 1 to 3, Sept 2026</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WS-1. Raise DEP-01 and DEP-02 on day one.</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Specification drafted</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October 2026</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Observe the natural cycle on the incumbent path.</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Baseline captured</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Weeks 4 to 9, Oct to mid Nov</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WS-2 connectivity and security.</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Connectivity proven, both legs</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Weeks 8 to 11, Nov</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WS-3 configuration.</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Both configuration rows built</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Weeks 10 to 14, Nov to Dec</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WS-4 replay testing.</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Evidence pack complete</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January 2027</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WS-5 parallel run on the natural cycle.</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Parallel run reconciled</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Weeks 15 to 17, Jan 2027</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WS-6 and WS-7.</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Closure report and recommendation</w:t>
            </w:r>
          </w:p>
        </w:tc>
      </w:tr>
      <w:tr>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1 April 2027</w:t>
            </w:r>
          </w:p>
        </w:tc>
        <w:tc>
          <w:tcPr>
            <w:tcW w:type="dxa" w:w="4741"/>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First production cycle, subject to the go decision.</w:t>
            </w:r>
          </w:p>
        </w:tc>
        <w:tc>
          <w:tcPr>
            <w:tcW w:type="dxa" w:w="309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Production cutover</w:t>
            </w:r>
          </w:p>
        </w:tc>
      </w:tr>
    </w:tbl>
    <w:p>
      <w:pPr>
        <w:spacing w:after="40"/>
      </w:pPr>
    </w:p>
    <w:p>
      <w:pPr>
        <w:pStyle w:val="Heading1"/>
        <w:keepNext/>
        <w:spacing w:after="70" w:before="160"/>
      </w:pPr>
      <w:r>
        <w:t xml:space="preserve">9. Risks and open decisions</w:t>
      </w: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824"/>
        <w:gridCol w:w="4122"/>
        <w:gridCol w:w="5360"/>
      </w:tblGrid>
      <w:tr>
        <w:trPr>
          <w:tblHeader/>
        </w:trPr>
        <w:tc>
          <w:tcPr>
            <w:tcW w:type="dxa" w:w="82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4122"/>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Risk</w:t>
            </w:r>
          </w:p>
        </w:tc>
        <w:tc>
          <w:tcPr>
            <w:tcW w:type="dxa" w:w="536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Response</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R-01</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ONS endpoint agreement not obtained inside the window</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day one and escalate through liaison. If it slips, split the MVP and report leg A separately rather than delaying the whole assessment</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R-02</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Firewall change exceeds eight weeks</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both change requests before the specification is final, using best-known detail and amending later</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R-03</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generic engine cannot satisfy a requirement by configuration alone</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Record in the engine gap log. This is a finding, not a defect to build around</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R-04</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Enterprise secrets integration not achievable, G-14</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Document the interim control with owner and review date. Go-with-conditions item, not a blocker</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R-05</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No production-like non-production environment</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Raise DEP-09 early. If unavailable, state that connectivity evidence is production-only and the test evidence is partial</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R-06</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Personal data constraints prevent realistic replay</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Request synthetic data early. Fall back to structurally identical dummy content</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R-07</w:t>
            </w:r>
          </w:p>
        </w:tc>
        <w:tc>
          <w:tcPr>
            <w:tcW w:type="dxa" w:w="4122"/>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The MVP is read as a commitment to decommission UTM, the IF server or SDES</w:t>
            </w:r>
          </w:p>
        </w:tc>
        <w:tc>
          <w:tcPr>
            <w:tcW w:type="dxa" w:w="536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State the out of scope position in every communication</w:t>
            </w:r>
          </w:p>
        </w:tc>
      </w:tr>
    </w:tbl>
    <w:p>
      <w:pPr>
        <w:spacing w:after="40"/>
      </w:pPr>
    </w:p>
    <w:tbl>
      <w:tblPr>
        <w:tblW w:type="dxa" w:w="10306"/>
        <w:tblBorders>
          <w:top w:val="single" w:color="auto" w:sz="4"/>
          <w:left w:val="single" w:color="auto" w:sz="4"/>
          <w:bottom w:val="single" w:color="auto" w:sz="4"/>
          <w:right w:val="single" w:color="auto" w:sz="4"/>
          <w:insideH w:val="single" w:color="auto" w:sz="4"/>
          <w:insideV w:val="single" w:color="auto" w:sz="4"/>
        </w:tblBorders>
      </w:tblPr>
      <w:tblGrid>
        <w:gridCol w:w="824"/>
        <w:gridCol w:w="5359"/>
        <w:gridCol w:w="2473"/>
        <w:gridCol w:w="1650"/>
      </w:tblGrid>
      <w:tr>
        <w:trPr>
          <w:tblHeader/>
        </w:trPr>
        <w:tc>
          <w:tcPr>
            <w:tcW w:type="dxa" w:w="824"/>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Ref</w:t>
            </w:r>
          </w:p>
        </w:tc>
        <w:tc>
          <w:tcPr>
            <w:tcW w:type="dxa" w:w="5359"/>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Open decision</w:t>
            </w:r>
          </w:p>
        </w:tc>
        <w:tc>
          <w:tcPr>
            <w:tcW w:type="dxa" w:w="2473"/>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Owning role</w:t>
            </w:r>
          </w:p>
        </w:tc>
        <w:tc>
          <w:tcPr>
            <w:tcW w:type="dxa" w:w="1650"/>
            <w:tcBorders>
              <w:top w:val="single" w:color="B1B4B6" w:sz="4"/>
              <w:left w:val="single" w:color="B1B4B6" w:sz="4"/>
              <w:bottom w:val="single" w:color="B1B4B6" w:sz="4"/>
              <w:right w:val="single" w:color="B1B4B6" w:sz="4"/>
            </w:tcBorders>
            <w:shd w:fill="F3F2F1" w:color="auto" w:val="clear"/>
            <w:tcMar>
              <w:top w:type="dxa" w:w="40"/>
              <w:left w:type="dxa" w:w="80"/>
              <w:bottom w:type="dxa" w:w="40"/>
              <w:right w:type="dxa" w:w="80"/>
            </w:tcMar>
          </w:tcPr>
          <w:p>
            <w:pPr>
              <w:spacing w:after="0" w:line="240"/>
            </w:pPr>
            <w:r>
              <w:rPr>
                <w:b/>
                <w:bCs/>
                <w:sz w:val="16"/>
                <w:szCs w:val="16"/>
              </w:rPr>
              <w:t xml:space="preserve">Needed by</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D-01</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Classification of the file and whether a DPIA is held, required or not applicable</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Information governance</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WS-1</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D-02</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leg B targets ONS directly or keeps SDES with Boomi MFT replacing only the IF hop</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Design Authority</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WS-2</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D-03</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Interim credential control if enterprise secrets cannot be used, with a review date</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Security architecture</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WS-2</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D-04</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Acceptable maximum wait for arrival and the escalation route</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Warehouse feed owner, ADR</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WS-3</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D-05</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Who signs manual promotion to production given G-13</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Platform engineering</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WS-4</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D-06</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Retention period at each hop and who is accountable for expiry</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Information governance</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WS-3</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D-07</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leg A proven and leg B not is an acceptable outcome, and what recommendation it supports</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Design Authority</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Before WS-1</w:t>
            </w:r>
          </w:p>
        </w:tc>
      </w:tr>
      <w:tr>
        <w:tc>
          <w:tcPr>
            <w:tcW w:type="dxa" w:w="824"/>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D-08</w:t>
            </w:r>
          </w:p>
        </w:tc>
        <w:tc>
          <w:tcPr>
            <w:tcW w:type="dxa" w:w="5359"/>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Whether the incumbent path is retired after a successful MVP, and under what governance</w:t>
            </w:r>
          </w:p>
        </w:tc>
        <w:tc>
          <w:tcPr>
            <w:tcW w:type="dxa" w:w="2473"/>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Incumbent service owner</w:t>
            </w:r>
          </w:p>
        </w:tc>
        <w:tc>
          <w:tcPr>
            <w:tcW w:type="dxa" w:w="1650"/>
            <w:tcBorders>
              <w:top w:val="single" w:color="B1B4B6" w:sz="4"/>
              <w:left w:val="single" w:color="B1B4B6" w:sz="4"/>
              <w:bottom w:val="single" w:color="B1B4B6" w:sz="4"/>
              <w:right w:val="single" w:color="B1B4B6" w:sz="4"/>
            </w:tcBorders>
            <w:tcMar>
              <w:top w:type="dxa" w:w="40"/>
              <w:left w:type="dxa" w:w="80"/>
              <w:bottom w:type="dxa" w:w="40"/>
              <w:right w:type="dxa" w:w="80"/>
            </w:tcMar>
          </w:tcPr>
          <w:p>
            <w:pPr>
              <w:spacing w:after="0" w:line="240"/>
            </w:pPr>
            <w:r>
              <w:rPr>
                <w:b w:val="false"/>
                <w:bCs w:val="false"/>
                <w:sz w:val="16"/>
                <w:szCs w:val="16"/>
              </w:rPr>
              <w:t xml:space="preserve">Post MVP</w:t>
            </w:r>
          </w:p>
        </w:tc>
      </w:tr>
    </w:tbl>
    <w:p>
      <w:pPr>
        <w:spacing w:after="40"/>
      </w:pPr>
    </w:p>
    <w:p>
      <w:pPr>
        <w:pBdr>
          <w:left w:val="single" w:color="1D70B8" w:sz="14"/>
        </w:pBdr>
        <w:shd w:fill="F0F6FB" w:color="auto" w:val="clear"/>
        <w:spacing w:after="140" w:before="100"/>
        <w:ind w:left="150"/>
      </w:pPr>
      <w:r>
        <w:rPr>
          <w:i/>
          <w:iCs/>
          <w:sz w:val="19"/>
          <w:szCs w:val="19"/>
        </w:rPr>
        <w:t xml:space="preserve">D-02 and D-07 should be adjudicated before work starts. D-02 changes the scope of the cross-department dependency; D-07 determines whether a partial result still produces a usable answer.</w:t>
      </w:r>
    </w:p>
    <w:sectPr>
      <w:footerReference w:type="default" r:id="rId7"/>
      <w:pgSz w:w="11906" w:h="16838" w:orient="portrait"/>
      <w:pgMar w:top="8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5A5F"/>
        <w:sz w:val="14"/>
        <w:szCs w:val="14"/>
      </w:rPr>
      <w:t xml:space="preserve">OFFICIAL   |   v0.2   |   Page </w:t>
    </w:r>
    <w:r>
      <w:rPr>
        <w:color w:val="505A5F"/>
        <w:sz w:val="14"/>
        <w:szCs w:val="14"/>
      </w:rPr>
      <w:fldChar w:fldCharType="begin"/>
      <w:instrText xml:space="preserve">PAGE</w:instrText>
      <w:fldChar w:fldCharType="separate"/>
      <w:fldChar w:fldCharType="end"/>
    </w:r>
    <w:r>
      <w:rPr>
        <w:color w:val="505A5F"/>
        <w:sz w:val="14"/>
        <w:szCs w:val="14"/>
      </w:rPr>
      <w:t xml:space="preserve"> of </w:t>
    </w:r>
    <w:r>
      <w:rPr>
        <w:color w:val="505A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abstractNum w:abstractNumId="3" w15:restartNumberingAfterBreak="0">
    <w:multiLevelType w:val="hybridMultilevel"/>
    <w:lvl w:ilvl="0" w15:tentative="1">
      <w:start w:val="1"/>
      <w:numFmt w:val="decimal"/>
      <w:lvlText w:val="%1."/>
      <w:lvlJc w:val="left"/>
      <w:pPr>
        <w:ind w:left="38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C0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0C0C"/>
      <w:sz w:val="26"/>
      <w:szCs w:val="26"/>
    </w:rPr>
  </w:style>
  <w:style w:type="paragraph" w:styleId="Heading2">
    <w:name w:val="Heading 2"/>
    <w:basedOn w:val="Normal"/>
    <w:next w:val="Normal"/>
    <w:qFormat/>
    <w:rPr>
      <w:rFonts w:ascii="Calibri" w:cs="Calibri" w:eastAsia="Calibri" w:hAnsi="Calibri"/>
      <w:b/>
      <w:bCs/>
      <w:color w:val="1D70B8"/>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d9b3d58c5edc82c89e170f6f1c0388e29a76a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 File Transfer on Boomi MVP Brief</dc:title>
  <dc:creator>Integration Catalogue Bot</dc:creator>
  <dc:description>Candidate: ADR.040 Migrant Workers Scan, dual-leg proof</dc:description>
  <cp:lastModifiedBy>Un-named</cp:lastModifiedBy>
  <cp:revision>1</cp:revision>
  <dcterms:created xsi:type="dcterms:W3CDTF">2026-09-08T11:21:19.448Z</dcterms:created>
  <dcterms:modified xsi:type="dcterms:W3CDTF">2026-09-08T11:21:19.448Z</dcterms:modified>
</cp:coreProperties>
</file>

<file path=docProps/custom.xml><?xml version="1.0" encoding="utf-8"?>
<Properties xmlns="http://schemas.openxmlformats.org/officeDocument/2006/custom-properties" xmlns:vt="http://schemas.openxmlformats.org/officeDocument/2006/docPropsVTypes"/>
</file>