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96A3" w:sz="6" w:space="4"/>
        </w:pBdr>
        <w:spacing w:after="8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Boomi Managed File Transfer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Minimum Viable Product (MVP) | Executive Concept 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DE3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MVP proposition: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that Boomi MFT can operate as a secure, repeatable and production-ready managed file transfer service for HMRC, not simply that it can move a file.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i/>
          <w:iCs/>
          <w:color w:val="52606D"/>
          <w:sz w:val="17"/>
          <w:szCs w:val="17"/>
        </w:rPr>
        <w:t xml:space="preserve">Version 0.3 (suggested redraft), 20 October 2026. Scope changed from a single live feed to four platform transfer patterns in non-production.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1. Objective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Establish Boomi MFT in non-production and demonstrate four transfer patterns covering both directions across the internal and external boundary, measured against the success criteria in section 6.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2. Chosen use case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MVP scope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Non-production environment; four platform transfer patterns; no live interface</w:t>
            </w:r>
          </w:p>
        </w:tc>
      </w:tr>
      <w:t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Validate Boomi MFT platform capabilities and re-usable patterns</w:t>
            </w:r>
          </w:p>
        </w:tc>
      </w:tr>
      <w:t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External landing zones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 Cloud SaaS: Pega LZ 1 and Pega LZ 2 (access method to confirm, D-MVP-02)</w:t>
            </w:r>
          </w:p>
        </w:tc>
      </w:tr>
      <w:t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Internal landing zones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HMRC AWS: S3 bucket 1 and S3 bucket 2 (D-MVP-03)</w:t>
            </w:r>
          </w:p>
        </w:tc>
      </w:tr>
      <w:t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Runtimes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Boomi MFT Cloud and Boomi MFT Local Node; allocation per pattern under D-MVP-01</w:t>
            </w:r>
          </w:p>
        </w:tc>
      </w:tr>
      <w:t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Synthetic or representative non-production files; classification confirmed (DEP-05)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mvp-patterns" descr="Four transfer patterns routed through Boomi MFT Cloud and Local Node" title="MVP patter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2606D"/>
          <w:sz w:val="17"/>
          <w:szCs w:val="17"/>
        </w:rPr>
        <w:t xml:space="preserve">Figure 1. Four MVP patterns and the route each takes through Boomi.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MVP transfer patterns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100"/>
        <w:gridCol w:w="3538"/>
      </w:tblGrid>
      <w:tr>
        <w:trPr>
          <w:tblHeader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to target</w:t>
            </w:r>
          </w:p>
        </w:tc>
        <w:tc>
          <w:tcPr>
            <w:tcW w:type="dxa" w:w="3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 scanning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to external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 LZ 1 to Pega LZ 2</w:t>
            </w:r>
          </w:p>
        </w:tc>
        <w:tc>
          <w:tcPr>
            <w:tcW w:type="dxa" w:w="3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if routed through the Local Node (D-MVP-01, D-MVP-05)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to internal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bucket 1 to S3 bucket 2</w:t>
            </w:r>
          </w:p>
        </w:tc>
        <w:tc>
          <w:tcPr>
            <w:tcW w:type="dxa" w:w="3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policy (D-MVP-05)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to internal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 LZ 1 to S3 bucket 1</w:t>
            </w:r>
          </w:p>
        </w:tc>
        <w:tc>
          <w:tcPr>
            <w:tcW w:type="dxa" w:w="3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Mandatory before the file lands internally</w:t>
            </w:r>
          </w:p>
        </w:tc>
      </w:tr>
      <w:t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to external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bucket 2 to Pega LZ 2</w:t>
            </w:r>
          </w:p>
        </w:tc>
        <w:tc>
          <w:tcPr>
            <w:tcW w:type="dxa" w:w="3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policy for outbound (D-MVP-05)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3. What the MVP will prove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Secure transfer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and external movement in both directions, TLS on every leg, credentials held outside configuration, AV scanning before release.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Operability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Scheduling without manual intervention, monitoring, alerting on non-arrival, failure and AV events, restart and replay.</w:t>
            </w:r>
          </w:p>
        </w:tc>
      </w:tr>
      <w:t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Repeatable delivery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Patterns configured once and promoted dev to test; re-usable for future onboarding.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Audit and governance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auditable record per transfer: source, destination, size, SHA-256, timestamps, outcome.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4. Scope boundaries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8761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7F4A1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 OF SCOPE FOR THE MVP</w:t>
            </w:r>
          </w:p>
        </w:tc>
      </w:tr>
      <w:tr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four transfer patterns (P1 to P4)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and API-triggered transfer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Configuration, scheduling and promotion from dev to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controls: TLS, credentials, IAM, encryption at rest, AV scanning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Monitoring, audit records and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Negative-path testing (see test catalogue)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runbook and support walk-through</w:t>
            </w:r>
          </w:p>
        </w:tc>
        <w:tc>
          <w:tcPr>
            <w:tcW w:type="dxa" w:w="481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or production data, and production go-live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Enterprise-wide migration and multiple business feeds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Transformation of file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Performance, volume and soak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 and DR failover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Payload encryption (PGP), unless brought in by D-MVP-10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ServiceNow or Dynatrace integration, unless essential to show operational readiness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5. Critical dependencies and decisions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Dependencies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38"/>
        <w:gridCol w:w="2700"/>
      </w:tblGrid>
      <w:tr>
        <w:trPr>
          <w:tblHeader/>
        </w:trP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role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DEP-01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Boomi MFT runtimes available in non-production: Boomi MFT Cloud tenant and internally hosted Local Node, with AV (MDE) enabled.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Boomi Platform Owner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DEP-02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connectivity: firewall and allow-list rules for Local Node to Boomi MFT Cloud, and Boomi egress IPs allow-listed on the Pega side.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 Lead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DEP-03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Pega landing zones with accounts and keys for Boomi.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 Landing Zone Owner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DEP-04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S3 locations with IAM roles and KMS keys granted to the Local Node.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Platform Owner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DEP-05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Representative or synthetic test files agreed, with file naming rules and data classification confirmed (including whether the data may be held in external SaaS).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Architect with Data Owner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DEP-06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 storage arrangement agreed (D-MVP-04).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Architect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DEP-07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destination set up and reachable (D-MVP-07).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Management Lead</w:t>
            </w:r>
          </w:p>
        </w:tc>
      </w:tr>
      <w:tr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DEP-08</w:t>
            </w:r>
          </w:p>
        </w:tc>
        <w:tc>
          <w:tcPr>
            <w:tcW w:type="dxa" w:w="6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approval to connect non-production to external SaaS.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Architect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Decisions required before build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38"/>
        <w:gridCol w:w="27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role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D-MVP-01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that executes each pattern (Boomi MFT Cloud or Local Node) and where AV scanning happens for each.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Boomi Platform Owner with Security Architect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D-MVP-02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 landing zone access method, accounts and keys, and confirmation that two distinct zones are available.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 Landing Zone Owner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D-MVP-03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S3 layout (two buckets or two prefixes), IAM roles and KMS keys for the Local Node.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Platform Owner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D-MVP-04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 storage for non-production: vault or PAM, or an interim control (G-14).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Architect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D-MVP-05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 policy per pattern, maximum test file size against the AV limit (G-15, about 250 MB) and the behaviour for oversize files.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Boomi Platform Owner with Security Architect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D-MVP-06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Configuration promotion mechanism for dev to test and how rollback is evidenced (G-13).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Boomi Platform Owner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D-MVP-07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channel for the MVP (email or Teams versus ServiceNow) and the alert response target.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Management Lead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D-MVP-08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Post-transfer handling of the source file (delete, archive or keep) and the retention period.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Architect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D-MVP-09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trigger client and its authentication method.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Architect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D-MVP-10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payload encryption (PGP) is in or out of MVP scope.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Architect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D-MVP-11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Sign-off authority for the evidence pack and the forum that receives the adoption recommendation.</w:t>
            </w:r>
          </w:p>
        </w:tc>
        <w:tc>
          <w:tcPr>
            <w:tcW w:type="dxa" w:w="2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Authority Chair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6. Success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tblHeader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MVP is successful when...</w:t>
            </w:r>
          </w:p>
        </w:tc>
      </w:tr>
      <w:t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SC-1</w:t>
            </w:r>
          </w:p>
        </w:tc>
        <w:tc>
          <w:tcPr>
            <w:tcW w:type="dxa" w:w="8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of the four patterns completes a scheduled and an API-triggered transfer, and the target SHA-256 matches the source.</w:t>
            </w:r>
          </w:p>
        </w:tc>
      </w:tr>
      <w:t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SC-2</w:t>
            </w:r>
          </w:p>
        </w:tc>
        <w:tc>
          <w:tcPr>
            <w:tcW w:type="dxa" w:w="8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Scheduled transfers run for at least five consecutive cycles per pattern with no manual intervention, and transfer history is visible end to end.</w:t>
            </w:r>
          </w:p>
        </w:tc>
      </w:tr>
      <w:t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SC-3</w:t>
            </w:r>
          </w:p>
        </w:tc>
        <w:tc>
          <w:tcPr>
            <w:tcW w:type="dxa" w:w="8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Non-arrival, transfer failure, AV detection and AV service failure each raise an alert to the agreed channel within the agreed time (target 15 minutes, D-MVP-07).</w:t>
            </w:r>
          </w:p>
        </w:tc>
      </w:tr>
      <w:t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SC-4</w:t>
            </w:r>
          </w:p>
        </w:tc>
        <w:tc>
          <w:tcPr>
            <w:tcW w:type="dxa" w:w="8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infected, unscannable or oversize file is never delivered to any target.</w:t>
            </w:r>
          </w:p>
        </w:tc>
      </w:tr>
      <w:t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SC-5</w:t>
            </w:r>
          </w:p>
        </w:tc>
        <w:tc>
          <w:tcPr>
            <w:tcW w:type="dxa" w:w="8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transfer creates an audit record with source, destination, file name, size, SHA-256, start and end timestamps, outcome and correlation ID.</w:t>
            </w:r>
          </w:p>
        </w:tc>
      </w:tr>
      <w:t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SC-6</w:t>
            </w:r>
          </w:p>
        </w:tc>
        <w:tc>
          <w:tcPr>
            <w:tcW w:type="dxa" w:w="8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Configuration is promoted from dev to test through the agreed mechanism with no manual re-keying; rollback is demonstrated or the gap is recorded against G-13.</w:t>
            </w:r>
          </w:p>
        </w:tc>
      </w:tr>
      <w:t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SC-7</w:t>
            </w:r>
          </w:p>
        </w:tc>
        <w:tc>
          <w:tcPr>
            <w:tcW w:type="dxa" w:w="8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controls are evidenced: TLS 1.2 or higher on every leg, credentials held outside configuration (or the G-14 interim control recorded), least-privilege IAM on S3, encryption at rest.</w:t>
            </w:r>
          </w:p>
        </w:tc>
      </w:tr>
      <w:t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SC-8</w:t>
            </w:r>
          </w:p>
        </w:tc>
        <w:tc>
          <w:tcPr>
            <w:tcW w:type="dxa" w:w="8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support team can restart a failed transfer, replay a transfer and investigate a quarantined file using the draft runbook, without platform team help.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i/>
          <w:iCs/>
          <w:color w:val="52606D"/>
          <w:sz w:val="17"/>
          <w:szCs w:val="17"/>
        </w:rPr>
        <w:t xml:space="preserve">Targets (five runs, 15 minutes) are proposed and confirmed under D-MVP-07. Each criterion maps to tests in the test and evidence catalogue.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7. Definition of done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The MVP is complete when SC-1 to SC-8 are met, or any unmet criterion has an accepted gap with an owner; the evidence pack (test results, audit extract, alert evidence, configuration export, runbook walk-through record) is signed off by the Boomi Platform Owner, Security Architect and Service Management Lead; and an adoption recommendation, including the position on G-13 (configuration promotion), G-14 (credential sourcing) and G-15 (AV size limit), is presented to the Design Authority.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8. Indicative timeline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838"/>
      </w:tblGrid>
      <w:tr>
        <w:trPr>
          <w:tblHeader/>
        </w:trP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</w:t>
            </w:r>
          </w:p>
        </w:tc>
      </w:tr>
      <w:t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 0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Readiness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Decisions D-MVP-01 to 05 closed, connectivity tested, accounts and test files in place.</w:t>
            </w:r>
          </w:p>
        </w:tc>
      </w:tr>
      <w:t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and positive tests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 four patterns, schedules and API trigger; run SC-1, SC-2, SC-5.</w:t>
            </w:r>
          </w:p>
        </w:tc>
      </w:tr>
      <w:t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and operational tests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negative catalogue, alerts, promotion and security checks; SC-3, SC-4, SC-6, SC-7, SC-8.</w:t>
            </w:r>
          </w:p>
        </w:tc>
      </w:tr>
      <w:tr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and recommendation</w:t>
            </w:r>
          </w:p>
        </w:tc>
        <w:tc>
          <w:tcPr>
            <w:tcW w:type="dxa" w:w="5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Assemble evidence pack, sign-off, adoption recommendation to Design Authority.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2933"/>
          <w:sz w:val="26"/>
          <w:szCs w:val="26"/>
        </w:rPr>
        <w:t xml:space="preserve">9. Key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900"/>
        <w:gridCol w:w="1050"/>
        <w:gridCol w:w="2938"/>
        <w:gridCol w:w="1700"/>
      </w:tblGrid>
      <w:tr>
        <w:trPr>
          <w:tblHeader/>
        </w:trPr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/ L</w:t>
            </w:r>
          </w:p>
        </w:tc>
        <w:tc>
          <w:tcPr>
            <w:tcW w:type="dxa" w:w="2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role</w:t>
            </w:r>
          </w:p>
        </w:tc>
      </w:tr>
      <w:tr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R-MVP-01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Firewall and allow-list lead times delay P3 and P4.</w:t>
            </w:r>
          </w:p>
        </w:tc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High</w:t>
            </w:r>
          </w:p>
        </w:tc>
        <w:tc>
          <w:tcPr>
            <w:tcW w:type="dxa" w:w="2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Raise change requests at note sign-off; test connectivity first.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Infrastructure Lead</w:t>
            </w:r>
          </w:p>
        </w:tc>
      </w:tr>
      <w:tr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R-MVP-02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routed through Boomi MFT Cloud bypasses internal AV; files above about 250 MB cannot be scanned (G-15).</w:t>
            </w:r>
          </w:p>
        </w:tc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/ Medium</w:t>
            </w:r>
          </w:p>
        </w:tc>
        <w:tc>
          <w:tcPr>
            <w:tcW w:type="dxa" w:w="2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Settle D-MVP-01 and D-MVP-05 before build; keep test files under the limit plus one oversize negative test.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Boomi Platform Owner</w:t>
            </w:r>
          </w:p>
        </w:tc>
      </w:tr>
      <w:tr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R-MVP-03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CI/CD for MFT configuration (G-13), so SC-6 may not be met.</w:t>
            </w:r>
          </w:p>
        </w:tc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/ High</w:t>
            </w:r>
          </w:p>
        </w:tc>
        <w:tc>
          <w:tcPr>
            <w:tcW w:type="dxa" w:w="2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Agree the mechanism under D-MVP-06; record the gap if rollback cannot be shown.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Boomi Platform Owner</w:t>
            </w:r>
          </w:p>
        </w:tc>
      </w:tr>
      <w:tr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R-MVP-04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native PAM integration (G-14) leads to manual credential handling.</w:t>
            </w:r>
          </w:p>
        </w:tc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/ High</w:t>
            </w:r>
          </w:p>
        </w:tc>
        <w:tc>
          <w:tcPr>
            <w:tcW w:type="dxa" w:w="2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Interim controlled process with audit; record in the evidence pack.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Architect</w:t>
            </w:r>
          </w:p>
        </w:tc>
      </w:tr>
      <w:tr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R-MVP-05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 landing zone access (two zones, accounts, keys) arrives late.</w:t>
            </w:r>
          </w:p>
        </w:tc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/ Medium</w:t>
            </w:r>
          </w:p>
        </w:tc>
        <w:tc>
          <w:tcPr>
            <w:tcW w:type="dxa" w:w="2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D-MVP-02 in week 0; P2 can start without it.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Pega Landing Zone Owner</w:t>
            </w:r>
          </w:p>
        </w:tc>
      </w:tr>
      <w:tr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R-MVP-06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SaaS may not accept representative data.</w:t>
            </w:r>
          </w:p>
        </w:tc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/ Medium</w:t>
            </w:r>
          </w:p>
        </w:tc>
        <w:tc>
          <w:tcPr>
            <w:tcW w:type="dxa" w:w="2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to synthetic files for P1, P3 and P4.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 Architect</w:t>
            </w:r>
          </w:p>
        </w:tc>
      </w:tr>
      <w:tr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R-MVP-07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ServiceNow and Dynatrace are out of scope, so operational readiness is shown by email or Teams alerts only.</w:t>
            </w:r>
          </w:p>
        </w:tc>
        <w:tc>
          <w:tcPr>
            <w:tcW w:type="dxa" w:w="10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High</w:t>
            </w:r>
          </w:p>
        </w:tc>
        <w:tc>
          <w:tcPr>
            <w:tcW w:type="dxa" w:w="29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this limit in the recommendation.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Management Lead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785"/>
        <w:sz w:val="16"/>
        <w:szCs w:val="16"/>
      </w:rPr>
      <w:t xml:space="preserve">OFFICIAL | Draft v0.3 | 20 October 2026 | Page </w:t>
    </w:r>
    <w:r>
      <w:rPr>
        <w:rFonts w:ascii="Calibri" w:cs="Calibri" w:eastAsia="Calibri" w:hAnsi="Calibri"/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785"/>
        <w:sz w:val="18"/>
        <w:szCs w:val="18"/>
      </w:rPr>
      <w:t xml:space="preserve">OFFICIAL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d3a20fd7ae832265cbf0f59cd40faac591bdd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Boomi MFT MVP Executive Concept Note v0.3</dc:title>
  <dc:creator>Integration Architecture</dc:creator>
  <cp:lastModifiedBy>Un-named</cp:lastModifiedBy>
  <cp:revision>1</cp:revision>
  <dcterms:created xsi:type="dcterms:W3CDTF">2026-10-20T16:49:42.318Z</dcterms:created>
  <dcterms:modified xsi:type="dcterms:W3CDTF">2026-10-20T16:49:42.318Z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