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05A5F"/>
          <w:sz w:val="16"/>
          <w:szCs w:val="16"/>
        </w:rPr>
        <w:t xml:space="preserve">OFFICIAL</w:t>
      </w:r>
    </w:p>
    <w:p>
      <w:pPr>
        <w:spacing w:after="20" w:before="120"/>
      </w:pPr>
      <w:r>
        <w:rPr>
          <w:b/>
          <w:bCs/>
          <w:sz w:val="40"/>
          <w:szCs w:val="40"/>
        </w:rPr>
        <w:t xml:space="preserve">Boomi MFT Solution Design, Configuration specification, ADR.040 Migrant Workers Scan</w:t>
      </w:r>
    </w:p>
    <w:p>
      <w:pPr>
        <w:spacing w:after="60"/>
      </w:pPr>
      <w:r>
        <w:rPr>
          <w:b/>
          <w:bCs/>
          <w:color w:val="1D70B8"/>
          <w:sz w:val="22"/>
          <w:szCs w:val="22"/>
        </w:rPr>
        <w:t xml:space="preserve">MFT-INT-001 (leg A, internal) and MFT-EXT-001 (leg B, external)</w:t>
      </w:r>
    </w:p>
    <w:p>
      <w:pPr>
        <w:spacing w:after="200"/>
      </w:pPr>
      <w:r>
        <w:rPr>
          <w:b/>
          <w:bCs/>
          <w:color w:val="0B0C0C"/>
          <w:sz w:val="18"/>
          <w:szCs w:val="18"/>
        </w:rPr>
        <w:t xml:space="preserve">Return completed sections by Friday 25 September 2026</w:t>
      </w:r>
    </w:p>
    <w:p>
      <w:pPr>
        <w:spacing w:after="200"/>
      </w:pPr>
      <w:r>
        <w:rPr>
          <w:color w:val="505A5F"/>
          <w:sz w:val="16"/>
          <w:szCs w:val="16"/>
        </w:rPr>
        <w:t xml:space="preserve">v1.0   |   Issued for completion by stakeholder teams   |   8 September 2026   |   Integration Architecture   |   Integration Catalogue Programme</w:t>
      </w:r>
    </w:p>
    <w:p>
      <w:pPr>
        <w:pStyle w:val="Heading1"/>
        <w:keepNext/>
        <w:spacing w:after="60" w:before="120"/>
      </w:pPr>
      <w:r>
        <w:t xml:space="preserve">0. How to use this document</w:t>
      </w:r>
    </w:p>
    <w:p>
      <w:pPr>
        <w:spacing w:after="100"/>
      </w:pPr>
      <w:r>
        <w:rPr>
          <w:sz w:val="19"/>
          <w:szCs w:val="19"/>
        </w:rPr>
        <w:t xml:space="preserve">This document collects everything needed to configure two Managed File Transfer flows on Boomi for feed ADR.040. It is issued blank on purpose. Each section names the team that owns it, and every row has a Value column for you to complete.</w:t>
      </w:r>
    </w:p>
    <w:p>
      <w:pPr>
        <w:spacing w:after="100"/>
      </w:pPr>
      <w:r>
        <w:rPr>
          <w:sz w:val="19"/>
          <w:szCs w:val="19"/>
        </w:rPr>
        <w:t xml:space="preserve">Complete only the sections addressed to your team. If a row does not apply, write not applicable rather than leaving it blank, so we can tell the difference between a decision and an omission. If you do not know, write who does.</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6095"/>
        <w:gridCol w:w="6095"/>
        <w:gridCol w:w="3048"/>
      </w:tblGrid>
      <w:tr>
        <w:trPr>
          <w:tblHeader/>
        </w:trPr>
        <w:tc>
          <w:tcPr>
            <w:tcW w:type="dxa" w:w="609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Section</w:t>
            </w:r>
          </w:p>
        </w:tc>
        <w:tc>
          <w:tcPr>
            <w:tcW w:type="dxa" w:w="609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Team that completes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Needed by</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Leg A source endpoint</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NPS source system owner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Leg A target endpoint</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warehouse and platform team</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5. Leg B source endpoint</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warehouse and platform team</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6. Leg B target endpoint</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via cross-department liaison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7. File specification</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8. Scheduling and triggering</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9. Network and firewall</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Network security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now, complete by 25 Sep</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10. Security and credentials</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11. Error handling</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with Integration architecture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12. Monitoring and alerting</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13. Non-functional requirements</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14. Environments and test data</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 with the feed owner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15. Data Lake endpoint register</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16. Open questions</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Anyone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Ongoing</w:t>
            </w:r>
          </w:p>
        </w:tc>
      </w:tr>
      <w:tr>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17. Sign-off</w:t>
            </w:r>
          </w:p>
        </w:tc>
        <w:tc>
          <w:tcPr>
            <w:tcW w:type="dxa" w:w="609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All named owners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Fri 25 Sep 2026</w:t>
            </w:r>
          </w:p>
        </w:tc>
      </w:tr>
    </w:tbl>
    <w:p>
      <w:pPr>
        <w:spacing w:after="40"/>
      </w:pPr>
    </w:p>
    <w:p>
      <w:pPr>
        <w:pBdr>
          <w:left w:val="single" w:color="1D70B8" w:sz="14"/>
        </w:pBdr>
        <w:shd w:fill="F0F6FB" w:color="auto" w:val="clear"/>
        <w:spacing w:after="140" w:before="100"/>
        <w:ind w:left="150"/>
      </w:pPr>
      <w:r>
        <w:rPr>
          <w:i/>
          <w:iCs/>
          <w:sz w:val="19"/>
          <w:szCs w:val="19"/>
        </w:rPr>
        <w:t xml:space="preserve">The build window opens on Monday 28 September and configuration itself is two days. Sections 3 to 6 and 9 are the ones that decide whether it opens on time. Everything else can be completed during the window if it has to be.</w:t>
      </w:r>
    </w:p>
    <w:p>
      <w:pPr>
        <w:spacing w:after="100"/>
      </w:pPr>
      <w:r>
        <w:rPr>
          <w:sz w:val="19"/>
          <w:szCs w:val="19"/>
        </w:rPr>
        <w:t xml:space="preserve">A companion workbook is published alongside this document with one tab per section. If you would rather fill in a spreadsheet than a Word table, use that and return the tab.</w:t>
      </w:r>
    </w:p>
    <w:p>
      <w:pPr>
        <w:pStyle w:val="Heading1"/>
        <w:keepNext/>
        <w:spacing w:after="60" w:before="120"/>
      </w:pPr>
      <w:r>
        <w:t xml:space="preserve">1. Solution overview</w:t>
      </w:r>
    </w:p>
    <w:p>
      <w:pPr>
        <w:spacing w:after="100"/>
      </w:pPr>
      <w:r>
        <w:rPr>
          <w:sz w:val="19"/>
          <w:szCs w:val="19"/>
        </w:rPr>
        <w:t xml:space="preserve">Boomi MFT takes over the two boundary movements of feed ADR.040 and nothing else. The internal Maestro chain that stages and extracts the data inside ADR is untouched. Leg A collects the source extract and delivers it into the NPS file landing area, at which point the existing chain proceeds exactly as it does today. Leg B collects from the MWS file output area and delivers directly to ONS, removing the Insecure IF server hop.</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962"/>
        <w:gridCol w:w="11276"/>
      </w:tblGrid>
      <w:tr>
        <w:tc>
          <w:tcPr>
            <w:tcW w:type="dxa" w:w="39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 scope</w:t>
            </w:r>
          </w:p>
        </w:tc>
        <w:tc>
          <w:tcPr>
            <w:tcW w:type="dxa" w:w="1127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Two transfer flows, delivered as configuration rows consumed by the existing generic engine process. No bespoke Boomi component is created for either leg.</w:t>
            </w:r>
          </w:p>
        </w:tc>
      </w:tr>
      <w:tr>
        <w:tc>
          <w:tcPr>
            <w:tcW w:type="dxa" w:w="39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Out of scope</w:t>
            </w:r>
          </w:p>
        </w:tc>
        <w:tc>
          <w:tcPr>
            <w:tcW w:type="dxa" w:w="1127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Any change to the Maestro job chain, to the file content or schema, or to the business meaning of the feed. No decommissioning of UTM, the IF server or SDES.</w:t>
            </w:r>
          </w:p>
        </w:tc>
      </w:tr>
      <w:tr>
        <w:tc>
          <w:tcPr>
            <w:tcW w:type="dxa" w:w="39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Design principle</w:t>
            </w:r>
          </w:p>
        </w:tc>
        <w:tc>
          <w:tcPr>
            <w:tcW w:type="dxa" w:w="1127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Config over construction. Everything in sections 3 to 14 becomes a value in a configuration row, not a line of code.</w:t>
            </w:r>
          </w:p>
        </w:tc>
      </w:tr>
      <w:tr>
        <w:tc>
          <w:tcPr>
            <w:tcW w:type="dxa" w:w="39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Classification</w:t>
            </w:r>
          </w:p>
        </w:tc>
        <w:tc>
          <w:tcPr>
            <w:tcW w:type="dxa" w:w="1127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OFFICIAL. The file is assumed to contain personal data until section 7 confirms otherwise.</w:t>
            </w:r>
          </w:p>
        </w:tc>
      </w:tr>
    </w:tbl>
    <w:p>
      <w:pPr>
        <w:spacing w:after="40"/>
      </w:pPr>
    </w:p>
    <w:p>
      <w:pPr>
        <w:spacing w:after="20" w:before="60"/>
        <w:jc w:val="center"/>
      </w:pPr>
      <w:r>
        <w:drawing>
          <wp:inline distT="0" distB="0" distL="0" distR="0">
            <wp:extent cx="7239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2619375"/>
                    </a:xfrm>
                    <a:prstGeom prst="rect">
                      <a:avLst/>
                    </a:prstGeom>
                  </pic:spPr>
                </pic:pic>
              </a:graphicData>
            </a:graphic>
          </wp:inline>
        </w:drawing>
      </w:r>
    </w:p>
    <w:p>
      <w:pPr>
        <w:spacing w:after="90"/>
        <w:jc w:val="center"/>
      </w:pPr>
      <w:r>
        <w:rPr>
          <w:i/>
          <w:iCs/>
          <w:color w:val="505A5F"/>
          <w:sz w:val="15"/>
          <w:szCs w:val="15"/>
        </w:rPr>
        <w:t xml:space="preserve">Target state. Leg A replaces UTM into the ADR landing area. Leg B goes direct to ONS and removes the insecure hop. The internal Maestro chain is unchanged.</w:t>
      </w:r>
    </w:p>
    <w:p>
      <w:pPr>
        <w:pStyle w:val="Heading1"/>
        <w:keepNext/>
        <w:spacing w:after="60" w:before="120"/>
      </w:pPr>
      <w:r>
        <w:t xml:space="preserve">2. Flow inventory</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438"/>
        <w:gridCol w:w="2743"/>
        <w:gridCol w:w="3352"/>
        <w:gridCol w:w="3352"/>
        <w:gridCol w:w="3353"/>
      </w:tblGrid>
      <w:tr>
        <w:trPr>
          <w:tblHeader/>
        </w:trPr>
        <w:tc>
          <w:tcPr>
            <w:tcW w:type="dxa" w:w="243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Flow ID</w:t>
            </w:r>
          </w:p>
        </w:tc>
        <w:tc>
          <w:tcPr>
            <w:tcW w:type="dxa" w:w="274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Pattern</w:t>
            </w:r>
          </w:p>
        </w:tc>
        <w:tc>
          <w:tcPr>
            <w:tcW w:type="dxa" w:w="33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Source</w:t>
            </w:r>
          </w:p>
        </w:tc>
        <w:tc>
          <w:tcPr>
            <w:tcW w:type="dxa" w:w="33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Target</w:t>
            </w:r>
          </w:p>
        </w:tc>
        <w:tc>
          <w:tcPr>
            <w:tcW w:type="dxa" w:w="335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Replaces</w:t>
            </w:r>
          </w:p>
        </w:tc>
      </w:tr>
      <w:tr>
        <w:tc>
          <w:tcPr>
            <w:tcW w:type="dxa" w:w="243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MFT-INT-001</w:t>
            </w:r>
          </w:p>
        </w:tc>
        <w:tc>
          <w:tcPr>
            <w:tcW w:type="dxa" w:w="274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internal</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NPS extract drop point</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NPS file landing area</w:t>
            </w:r>
          </w:p>
        </w:tc>
        <w:tc>
          <w:tcPr>
            <w:tcW w:type="dxa" w:w="33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UTM transfer</w:t>
            </w:r>
          </w:p>
        </w:tc>
      </w:tr>
      <w:tr>
        <w:tc>
          <w:tcPr>
            <w:tcW w:type="dxa" w:w="243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MFT-EXT-001</w:t>
            </w:r>
          </w:p>
        </w:tc>
        <w:tc>
          <w:tcPr>
            <w:tcW w:type="dxa" w:w="274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external</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MWS file output area</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receiving endpoint</w:t>
            </w:r>
          </w:p>
        </w:tc>
        <w:tc>
          <w:tcPr>
            <w:tcW w:type="dxa" w:w="33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Maestro job 5, Insecure IF server and SDES</w:t>
            </w:r>
          </w:p>
        </w:tc>
      </w:tr>
    </w:tbl>
    <w:p>
      <w:pPr>
        <w:spacing w:after="40"/>
      </w:pPr>
    </w:p>
    <w:p>
      <w:pPr>
        <w:pStyle w:val="Heading1"/>
        <w:keepNext/>
        <w:spacing w:after="60" w:before="120"/>
      </w:pPr>
      <w:r>
        <w:t xml:space="preserve">3. Leg A source endpoint</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NPS source system owner</w:t>
      </w:r>
      <w:r>
        <w:rPr>
          <w:b/>
          <w:bCs/>
          <w:sz w:val="18"/>
          <w:szCs w:val="18"/>
        </w:rPr>
        <w:t xml:space="preserve">     Needed by: </w:t>
      </w:r>
      <w:r>
        <w:rPr>
          <w:sz w:val="18"/>
          <w:szCs w:val="18"/>
        </w:rPr>
        <w:t xml:space="preserve">Friday 25 September 2026</w:t>
      </w:r>
    </w:p>
    <w:p>
      <w:pPr>
        <w:spacing w:after="100"/>
      </w:pPr>
      <w:r>
        <w:rPr>
          <w:sz w:val="19"/>
          <w:szCs w:val="19"/>
        </w:rPr>
        <w:t xml:space="preserve">Where Boomi collects the extract from. This is the location UTM reads today.</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Hostname or IP</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endpoint Boomi connects to</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nps-ftp01.internal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Determines the connector and the security profile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SFTP, FTPS, SMB share, S3 or local file system</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Port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Needed for the firewall rule as well as the connection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22</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file is written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/data/outbound/mws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name or mask</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Boomi identifies the right 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MWS_SCAN_YYYYMMDD.dat or MWS_SCAN_*.dat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Authentication method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Drives credential provisioning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SSH key pair, username and password, or IAM role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account name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identity Boomi presents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svc-boomi-mft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fingerprint or server certificate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Prevents connecting to a spoofed endpoint. Required, not optional</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SHA256:xxxxxxxx</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issues and rotates the credential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 rotation does not silently break the flow</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team</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Is the file written atomically?</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If not, Boomi can pick up a partial file. This is the single most common cause of corrupt transfers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Written to .tmp then renamed, or a done file is created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Completion signal, if any</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tells us the file is finished being written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Trigger file, rename, or none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After collection: leave, delete or move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Determines whether we can re-collect and whether we cause a duplicate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Move to archive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archive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file goes after collection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/data/outbound/mws/archive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Retention on source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long we can go back to re-collect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90 days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Does the source need to allow-list our IPs?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If yes it goes into section 9 and starts a lead time now</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A-16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 and out of hours route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we call when it does not arrive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email, escalation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4. Leg A target endpoint</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ADR warehouse and platform team</w:t>
      </w:r>
      <w:r>
        <w:rPr>
          <w:b/>
          <w:bCs/>
          <w:sz w:val="18"/>
          <w:szCs w:val="18"/>
        </w:rPr>
        <w:t xml:space="preserve">     Needed by: </w:t>
      </w:r>
      <w:r>
        <w:rPr>
          <w:sz w:val="18"/>
          <w:szCs w:val="18"/>
        </w:rPr>
        <w:t xml:space="preserve">Friday 25 September 2026</w:t>
      </w:r>
    </w:p>
    <w:p>
      <w:pPr>
        <w:spacing w:after="100"/>
      </w:pPr>
      <w:r>
        <w:rPr>
          <w:sz w:val="19"/>
          <w:szCs w:val="19"/>
        </w:rPr>
        <w:t xml:space="preserve">Where Boomi delivers the file so that the existing Maestro chain picks it up unchanged. This is the NPS file landing area.</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Hostname or IP</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endpoint Boomi delivers to</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adr-land01.internal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Connector and security profile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SFTP, SMB share or S3</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Port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rule and connection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22</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Exactly where Maestro job 1 looks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/adr/landing/nps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Delivered file name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we keep the source name or rename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Same as source, or a stated rule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Write method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 Maestro never sees a partial 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Write to .tmp in the same directory then rename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Authentication method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provisioning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SSH key pair or service account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account name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identity Boomi presents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svc-boomi-mft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or certificate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verification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SHA256:xxxxxxxx</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permissions and ownership required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Maestro must be able to read and move the 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0640, owner adrsvc</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Maestro job 1 expects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Confirms we are delivering something the chain will actually detect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name pattern and polling interval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Duplicate handling</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we do if the same file arrives twice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Overwrite, reject, or suffix</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Does the target need to allow-list our IPs?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Feeds section 9</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B-14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 and out of hours route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Escalation on failure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email, escalation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5. Leg B source endpoint</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ADR warehouse and platform team</w:t>
      </w:r>
      <w:r>
        <w:rPr>
          <w:b/>
          <w:bCs/>
          <w:sz w:val="18"/>
          <w:szCs w:val="18"/>
        </w:rPr>
        <w:t xml:space="preserve">     Needed by: </w:t>
      </w:r>
      <w:r>
        <w:rPr>
          <w:sz w:val="18"/>
          <w:szCs w:val="18"/>
        </w:rPr>
        <w:t xml:space="preserve">Friday 25 September 2026</w:t>
      </w:r>
    </w:p>
    <w:p>
      <w:pPr>
        <w:spacing w:after="100"/>
      </w:pPr>
      <w:r>
        <w:rPr>
          <w:sz w:val="19"/>
          <w:szCs w:val="19"/>
        </w:rPr>
        <w:t xml:space="preserve">Where Boomi collects the prepared output from. This is the MWS file output area written by Maestro job 4.</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Hostname or IP</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Collection endpoint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adr-out01.internal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Connector and security profile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SFTP, SMB share or S3</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Port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rule and connection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22</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Maestro job 4 writes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/adr/output/mws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name or mask</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Boomi identifies the 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MWS_ONS_YYYYMMDD.dat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do we know extraction is complete?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critical question on this leg. Collecting mid-write sends a truncated file to another department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Done file, rename, or a Maestro completion event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Number of files per cycle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file or a set. Changes the completion logic entirely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Authentication method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provisioning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SSH key pair</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account name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Identity Boomi presents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svc-boomi-mft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or certificate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verification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SHA256:xxxxxxxx</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After collection: leave, delete or move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Duplicate prevention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Move to archive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Archive path and retention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Re-send capability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/adr/output/mws/archive, 90 days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 and out of hours route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Escalation on failure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email, escalation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6. Leg B target endpoint</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ONS, via the cross-department liaison</w:t>
      </w:r>
      <w:r>
        <w:rPr>
          <w:b/>
          <w:bCs/>
          <w:sz w:val="18"/>
          <w:szCs w:val="18"/>
        </w:rPr>
        <w:t xml:space="preserve">     Needed by: </w:t>
      </w:r>
      <w:r>
        <w:rPr>
          <w:sz w:val="18"/>
          <w:szCs w:val="18"/>
        </w:rPr>
        <w:t xml:space="preserve">Friday 25 September 2026</w:t>
      </w:r>
    </w:p>
    <w:p>
      <w:pPr>
        <w:spacing w:after="100"/>
      </w:pPr>
      <w:r>
        <w:rPr>
          <w:sz w:val="19"/>
          <w:szCs w:val="19"/>
        </w:rPr>
        <w:t xml:space="preserve">The external destination. This section has the longest lead time in the whole design because it involves another department, a key exchange and a firewall change on both sides. It should be started before anything else.</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Hostname or IP</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Delivery endpoint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sftp.ons.gov.uk</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Connector and security profile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SFTP</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Port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rule and connection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22</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file must land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/incoming/dept/mws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Required file name convention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Receiving systems usually enforce one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MWS_SCAN_YYYYMMDD.dat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Authentication method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Drives the key exchange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SSH key pair, mutual TLS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Account name and who issues it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Identity we present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and issuing team</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fingerprint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 we verify we are talking to ONS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SHA256:xxxxxxxx</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do we send our public key, and to whom?</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exchange itself is often the longest single step</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person and process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Which of our egress IPs must ONS allow-list?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Their firewall change, on their lead time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IP or range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Acknowledgement mechanism</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we know delivery succeeded rather than assuming it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Receipt file, email, portal, or none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level encryption required?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PGP is common for cross-department transfer. If yes, whose key and how is it exchanged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PGP, key ID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Delivery window or cut-off</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When the file must be there by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Within 5 working days of quarter start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happens on rejection, and how are we told?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Silent rejection is worse than failure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Process and contact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D-15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 and escalation route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we contact when a transfer fails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email, escalation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7. File specification</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Feed owner, ADR</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Format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Determines whether any validation is possible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Fixed width, delimited, XML, JSON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Character encoding</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Prevents corruption on transfer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UTF-8, ISO-8859-1, EBCDIC</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Delimiter or record layout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Only needed if we validate structure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Pipe delimited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Header and trailer records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Often carry control totals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 and content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Typical file size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Sizing and scan ceiling check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120 MB</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Maximum plausible file size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anti-virus scan ceiling is around 250 MB. If we can exceed it we need a design decision now</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300 MB</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Compression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Affects both size and scanning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None, gzip, zip</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Record count or control total available?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Lets us reconcile rather than just confirm bytes moved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Checksum provided by the source?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cleanest integrity check available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MD5, SHA256, none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Does the file contain personal data?</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Drives classification, handling and whether a DPIA is required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Classification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Handling controls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OFFICIAL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Retention in transit and archive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long Boomi may hold a copy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30 days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8. Scheduling and triggering</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Feed owner, ADR</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Trigger type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Schedule, event or manual</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Scheduled poll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Schedule for leg A</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When Boomi starts looking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First day of Jan, Apr, Jul, Oct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Schedule for leg B</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When Boomi starts looking for the output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 completion of the internal chain, or a fixed offset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Earliest and latest expected arrival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Defines the window inside which non-arrival is not yet a problem</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Between 02:00 and 18:00 on the trigger date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Maximum wait before escalation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Turns a silent non-arrival into an alert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24 hours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Poll interval within the window</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often Boomi checks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Every 15 minutes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Retry policy on failure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Attempts and interval before we alert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attempts, 10 minutes apart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Behaviour on a missed cycle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Wait for the next quarter, or alert and hold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Alert and hold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Calendar exceptions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Bank holidays and year end can move the trigger date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None, or stated rule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9. Network and firewall</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Network security</w:t>
      </w:r>
      <w:r>
        <w:rPr>
          <w:b/>
          <w:bCs/>
          <w:sz w:val="18"/>
          <w:szCs w:val="18"/>
        </w:rPr>
        <w:t xml:space="preserve">     Needed by: </w:t>
      </w:r>
      <w:r>
        <w:rPr>
          <w:sz w:val="18"/>
          <w:szCs w:val="18"/>
        </w:rPr>
        <w:t xml:space="preserve">Raise now, complete by Friday 25 September 2026</w:t>
      </w:r>
    </w:p>
    <w:p>
      <w:pPr>
        <w:spacing w:after="100"/>
      </w:pPr>
      <w:r>
        <w:rPr>
          <w:sz w:val="19"/>
          <w:szCs w:val="19"/>
        </w:rPr>
        <w:t xml:space="preserve">One row per rule. Raise these before the endpoint sections are finalised, using best-known values and amending later. Lead time here is longer than the entire build.</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1219"/>
        <w:gridCol w:w="2286"/>
        <w:gridCol w:w="3048"/>
        <w:gridCol w:w="3657"/>
        <w:gridCol w:w="2133"/>
        <w:gridCol w:w="1828"/>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12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w:t>
            </w:r>
          </w:p>
        </w:tc>
        <w:tc>
          <w:tcPr>
            <w:tcW w:type="dxa" w:w="2286"/>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Direction</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Source</w:t>
            </w:r>
          </w:p>
        </w:tc>
        <w:tc>
          <w:tcPr>
            <w:tcW w:type="dxa" w:w="365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Destination and port</w:t>
            </w:r>
          </w:p>
        </w:tc>
        <w:tc>
          <w:tcPr>
            <w:tcW w:type="dxa" w:w="213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Change ref</w:t>
            </w:r>
          </w:p>
        </w:tc>
        <w:tc>
          <w:tcPr>
            <w:tcW w:type="dxa" w:w="182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Status</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N-01</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to NPS source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N-02</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to ADR landing area</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N-03</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to ADR output area</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N-04</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egress to ONS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N-05</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inbound allow-list of our egress IPs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N-06</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to the anti-virus scanning service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N-07</w:t>
            </w:r>
          </w:p>
        </w:tc>
        <w:tc>
          <w:tcPr>
            <w:tcW w:type="dxa" w:w="12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w:t>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runtime to the secrets store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82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placement, leg A</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Which runtime executes the flow and where it sits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environment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placement, leg B</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May differ from leg A because of egress control</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environment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Egress IP or range presented to ONS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This is what ONS allow-lists. It must be stable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IP or range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Proxy in the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Changes the connection profile and the host key verification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N-14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Standard lead time for a change of this type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Sets the earliest date the window can open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Working days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10. Security and credentials</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Security architecture</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are credentials stored?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There is no documented native path from MFT to the enterprise secrets store. If that holds, we need an interim control with an owner and a review date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Enterprise secrets store, or stated interim</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Interim control if the secrets store cannot be used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Recorded as a condition rather than left implicit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Control, owner, review date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Key rotation period and process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Rotation that nobody plans for is how transfers break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Period and owner</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Minimum transport security accepted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Confirms the protocol and cipher choice is acceptable for an OFFICIAL feed crossing a departmental boundary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 cipher, key exchange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Anti-virus scanning point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in the path the file is scanned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service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Behaviour on scan failure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and alert, never deliver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and alert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Behaviour when a file exceeds the scan ceiling</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ceiling is around 250 MB. Silent pass-through would be the worst outcome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Reject, alert, or alternative scan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level encryption requirement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PGP or equivalent is required on leg B</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 and key detail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Audit record retention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long transfer evidence must be kept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Period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DPIA position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one is held, required or not applicable for this feed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Held, required or not applicable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11. Error handling</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Feed owner with Integration architecture</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path, leg A</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a bad file goes instead of onward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/adr/quarantine/nps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path, leg B</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Same, on the outbound side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/adr/quarantine/ons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reviews quarantined files, and within what time?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quarantine nobody empties is just a slower failure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Team and interval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Zero byte file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Deliver, reject or hold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Reject and alert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smaller or larger than expected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crude but effective correctness check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Thresholds, or none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Duplicate file in the same cycle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Prevents sending the same data twice to another department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Reject and alert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Partial transfer or connection loss mid-flight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Resume, restart or fail</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Restart from the beginning</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E-08</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Destination unavailable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long we retry before declaring failure</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Retry policy</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E-09</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rejection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Immediate alert, no silent retry loop</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Alert immediately</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Manual re-send process and who may run it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Needed for the runbook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Process and authorised roles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12. Monitoring and alerting</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Service Operations</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4571"/>
        <w:gridCol w:w="1829"/>
        <w:gridCol w:w="3657"/>
        <w:gridCol w:w="411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457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Event</w:t>
            </w:r>
          </w:p>
        </w:tc>
        <w:tc>
          <w:tcPr>
            <w:tcW w:type="dxa" w:w="182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Severity</w:t>
            </w:r>
          </w:p>
        </w:tc>
        <w:tc>
          <w:tcPr>
            <w:tcW w:type="dxa" w:w="365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Alert to</w:t>
            </w:r>
          </w:p>
        </w:tc>
        <w:tc>
          <w:tcPr>
            <w:tcW w:type="dxa" w:w="411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Response expected</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M-01</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not arrived by the maximum wait</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M-02</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Transfer failed after all retries</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M-03</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Anti-virus scan failed</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M-04</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quarantined</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M-05</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rejected</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M-06</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Destination unavailable</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M-07</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Destination rejected a valid file</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M-08</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Transfer completed successfully</w:t>
            </w:r>
          </w:p>
        </w:tc>
        <w:tc>
          <w:tcPr>
            <w:tcW w:type="dxa" w:w="18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411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M-10</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Alert channel</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alerts land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queue or tool</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M-11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Support hours for this feed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Quarterly feeds rarely justify out of hours, but it must be stated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Business hours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M-12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Escalation path</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after the first responder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roles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M-13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transfer audit record is viewed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Operations need one place to look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tool or dashboard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13. Non-functional requirements</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Feed owner, ADR</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Volume per cycle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Sizing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file, 120 MB</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Frequency</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Sizing and scheduling</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Quarterly</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Acceptable transfer duration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When slow becomes a problem</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Under 30 minutes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Business impact of a missed cycle</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Determines how hard we chase it</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Stated impact</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long can delivery be late before it matters?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Sets the real escalation clock</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Availability requirement</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quarterly feed does not need continuous availability, but say so</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Best endeavours in business hours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NF-07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Growth expectation over 3 years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we are designing for today's file only</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Percentage or none known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14. Environments and test data</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Platform engineering with the feed owner</w:t>
      </w:r>
      <w:r>
        <w:rPr>
          <w:b/>
          <w:bCs/>
          <w:sz w:val="18"/>
          <w:szCs w:val="18"/>
        </w:rPr>
        <w:t xml:space="preserve">     Needed by: </w:t>
      </w:r>
      <w:r>
        <w:rPr>
          <w:sz w:val="18"/>
          <w:szCs w:val="18"/>
        </w:rPr>
        <w:t xml:space="preserve">Friday 25 September 2026</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200"/>
        <w:gridCol w:w="4419"/>
        <w:gridCol w:w="3048"/>
        <w:gridCol w:w="3504"/>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20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Parameter</w:t>
            </w:r>
          </w:p>
        </w:tc>
        <w:tc>
          <w:tcPr>
            <w:tcW w:type="dxa" w:w="441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we need it</w:t>
            </w:r>
          </w:p>
        </w:tc>
        <w:tc>
          <w:tcPr>
            <w:tcW w:type="dxa" w:w="3048"/>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Example</w:t>
            </w:r>
          </w:p>
        </w:tc>
        <w:tc>
          <w:tcPr>
            <w:tcW w:type="dxa" w:w="350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EN-01</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Environments available for this build</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Which we configure and in what order</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Dev, test, production</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EN-02</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Does non-production have realistic network topology?</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Testing on a flat sandbox proves nothing about the real path</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EN-03</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Non-production endpoints for each of the four in sections 3 to 6</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Otherwise testing has to happen in production</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Hosts and paths</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EN-04</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 file: synthetic, anonymised or production copy</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Determines what controls apply to the test itself</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Synthetic preferred</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EN-05</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provides the test file and by when</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Testing starts on day 7</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 and date</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EN-06</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Is an infected test file permitted for scan testing?</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Needed to prove the scanning control actually blocks</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EICAR test file, yes or no</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EN-07</w:t>
            </w:r>
          </w:p>
        </w:tc>
        <w:tc>
          <w:tcPr>
            <w:tcW w:type="dxa" w:w="320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How configuration is promoted between environments</w:t>
            </w:r>
          </w:p>
        </w:tc>
        <w:tc>
          <w:tcPr>
            <w:tcW w:type="dxa" w:w="441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There is no native promotion pipeline. Manual promotion must be documented and signed</w:t>
            </w:r>
          </w:p>
        </w:tc>
        <w:tc>
          <w:tcPr>
            <w:tcW w:type="dxa" w:w="3048"/>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Process and approver</w:t>
            </w:r>
          </w:p>
        </w:tc>
        <w:tc>
          <w:tcPr>
            <w:tcW w:type="dxa" w:w="350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15. Data Lake endpoint register</w:t>
      </w:r>
    </w:p>
    <w:p>
      <w:pPr>
        <w:pBdr>
          <w:left w:val="single" w:color="00703C" w:sz="14"/>
        </w:pBdr>
        <w:shd w:fill="EAF3EE" w:color="auto" w:val="clear"/>
        <w:spacing w:after="120" w:before="60"/>
        <w:ind w:left="150"/>
      </w:pPr>
      <w:r>
        <w:rPr>
          <w:b/>
          <w:bCs/>
          <w:sz w:val="18"/>
          <w:szCs w:val="18"/>
        </w:rPr>
        <w:t xml:space="preserve">To be completed by: </w:t>
      </w:r>
      <w:r>
        <w:rPr>
          <w:sz w:val="18"/>
          <w:szCs w:val="18"/>
        </w:rPr>
        <w:t xml:space="preserve">Data Lake programme</w:t>
      </w:r>
      <w:r>
        <w:rPr>
          <w:b/>
          <w:bCs/>
          <w:sz w:val="18"/>
          <w:szCs w:val="18"/>
        </w:rPr>
        <w:t xml:space="preserve">     Needed by: </w:t>
      </w:r>
      <w:r>
        <w:rPr>
          <w:sz w:val="18"/>
          <w:szCs w:val="18"/>
        </w:rPr>
        <w:t xml:space="preserve">Friday 25 September 2026</w:t>
      </w:r>
    </w:p>
    <w:p>
      <w:pPr>
        <w:spacing w:after="100"/>
      </w:pPr>
      <w:r>
        <w:rPr>
          <w:sz w:val="19"/>
          <w:szCs w:val="19"/>
        </w:rPr>
        <w:t xml:space="preserve">The agreed approach is to build now against the current ADR endpoints and re-point to the Data Lake as a configuration change when the warehouse migrates. This register captures what will change, so the re-point is planned rather than discovered.</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3810"/>
        <w:gridCol w:w="3657"/>
        <w:gridCol w:w="3657"/>
        <w:gridCol w:w="3047"/>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381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Endpoint</w:t>
            </w:r>
          </w:p>
        </w:tc>
        <w:tc>
          <w:tcPr>
            <w:tcW w:type="dxa" w:w="365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Current value</w:t>
            </w:r>
          </w:p>
        </w:tc>
        <w:tc>
          <w:tcPr>
            <w:tcW w:type="dxa" w:w="365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Future Data Lake value</w:t>
            </w:r>
          </w:p>
        </w:tc>
        <w:tc>
          <w:tcPr>
            <w:tcW w:type="dxa" w:w="304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Expected change date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DL-01</w:t>
            </w:r>
          </w:p>
        </w:tc>
        <w:tc>
          <w:tcPr>
            <w:tcW w:type="dxa" w:w="381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 target, NPS landing area</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See section 4</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0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DL-02</w:t>
            </w:r>
          </w:p>
        </w:tc>
        <w:tc>
          <w:tcPr>
            <w:tcW w:type="dxa" w:w="381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source, MWS output area</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See section 5</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0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DL-03</w:t>
            </w:r>
          </w:p>
        </w:tc>
        <w:tc>
          <w:tcPr>
            <w:tcW w:type="dxa" w:w="381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Maestro chain: survives or replaced by Data Lake ingestion?</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0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DL-04</w:t>
            </w:r>
          </w:p>
        </w:tc>
        <w:tc>
          <w:tcPr>
            <w:tcW w:type="dxa" w:w="381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or account change at migration</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0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DL-05</w:t>
            </w:r>
          </w:p>
        </w:tc>
        <w:tc>
          <w:tcPr>
            <w:tcW w:type="dxa" w:w="381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required at migration</w:t>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65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0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16. Open questions</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067"/>
        <w:gridCol w:w="5029"/>
        <w:gridCol w:w="1981"/>
        <w:gridCol w:w="2286"/>
        <w:gridCol w:w="3352"/>
        <w:gridCol w:w="1523"/>
      </w:tblGrid>
      <w:tr>
        <w:trPr>
          <w:tblHeader/>
        </w:trPr>
        <w:tc>
          <w:tcPr>
            <w:tcW w:type="dxa" w:w="10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502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Question</w:t>
            </w:r>
          </w:p>
        </w:tc>
        <w:tc>
          <w:tcPr>
            <w:tcW w:type="dxa" w:w="198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Raised by</w:t>
            </w:r>
          </w:p>
        </w:tc>
        <w:tc>
          <w:tcPr>
            <w:tcW w:type="dxa" w:w="2286"/>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Owner</w:t>
            </w:r>
          </w:p>
        </w:tc>
        <w:tc>
          <w:tcPr>
            <w:tcW w:type="dxa" w:w="33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Answer</w:t>
            </w:r>
          </w:p>
        </w:tc>
        <w:tc>
          <w:tcPr>
            <w:tcW w:type="dxa" w:w="152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Date</w:t>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Q-01</w:t>
            </w:r>
          </w:p>
        </w:tc>
        <w:tc>
          <w:tcPr>
            <w:tcW w:type="dxa" w:w="50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9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52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Q-02</w:t>
            </w:r>
          </w:p>
        </w:tc>
        <w:tc>
          <w:tcPr>
            <w:tcW w:type="dxa" w:w="50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9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52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Q-03</w:t>
            </w:r>
          </w:p>
        </w:tc>
        <w:tc>
          <w:tcPr>
            <w:tcW w:type="dxa" w:w="50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9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52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Q-04</w:t>
            </w:r>
          </w:p>
        </w:tc>
        <w:tc>
          <w:tcPr>
            <w:tcW w:type="dxa" w:w="50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9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52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10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Q-05</w:t>
            </w:r>
          </w:p>
        </w:tc>
        <w:tc>
          <w:tcPr>
            <w:tcW w:type="dxa" w:w="50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9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28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152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pStyle w:val="Heading1"/>
        <w:keepNext/>
        <w:spacing w:after="60" w:before="120"/>
      </w:pPr>
      <w:r>
        <w:t xml:space="preserve">17. Sign-off</w:t>
      </w:r>
    </w:p>
    <w:p>
      <w:pPr>
        <w:spacing w:after="100"/>
      </w:pPr>
      <w:r>
        <w:rPr>
          <w:sz w:val="19"/>
          <w:szCs w:val="19"/>
        </w:rPr>
        <w:t xml:space="preserve">Sign-off here means the values you have supplied are correct and may be configured. It does not commit you to anything beyond that.</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5181"/>
        <w:gridCol w:w="4571"/>
        <w:gridCol w:w="3352"/>
        <w:gridCol w:w="2134"/>
      </w:tblGrid>
      <w:tr>
        <w:trPr>
          <w:tblHeader/>
        </w:trPr>
        <w:tc>
          <w:tcPr>
            <w:tcW w:type="dxa" w:w="518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Section</w:t>
            </w:r>
          </w:p>
        </w:tc>
        <w:tc>
          <w:tcPr>
            <w:tcW w:type="dxa" w:w="457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Role</w:t>
            </w:r>
          </w:p>
        </w:tc>
        <w:tc>
          <w:tcPr>
            <w:tcW w:type="dxa" w:w="33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Name</w:t>
            </w:r>
          </w:p>
        </w:tc>
        <w:tc>
          <w:tcPr>
            <w:tcW w:type="dxa" w:w="213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Date</w:t>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Leg A source endpoint</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NPS source system owner</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Leg A target endpoint</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warehouse and platform team</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5. Leg B source endpoint</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warehouse and platform team</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6. Leg B target endpoint</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Cross-department liaison, on behalf of ONS</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7 and 8. File and scheduling</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9. Network and firewall</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Network security</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10. Security and credentials</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11 and 12. Error handling and monitoring</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13 and 14. NFRs, environments and test data</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15. Data Lake endpoint register</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518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Overall design</w:t>
            </w:r>
          </w:p>
        </w:tc>
        <w:tc>
          <w:tcPr>
            <w:tcW w:type="dxa" w:w="457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Integration architecture</w:t>
            </w:r>
          </w:p>
        </w:tc>
        <w:tc>
          <w:tcPr>
            <w:tcW w:type="dxa" w:w="33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13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sectPr>
      <w:footerReference w:type="default" r:id="rId7"/>
      <w:pgSz w:w="16838" w:h="11906" w:orient="landscape"/>
      <w:pgMar w:top="8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A5F"/>
        <w:sz w:val="14"/>
        <w:szCs w:val="14"/>
      </w:rPr>
      <w:t xml:space="preserve">OFFICIAL   |   v1.0   |   Page </w:t>
    </w:r>
    <w:r>
      <w:rPr>
        <w:color w:val="505A5F"/>
        <w:sz w:val="14"/>
        <w:szCs w:val="14"/>
      </w:rPr>
      <w:fldChar w:fldCharType="begin"/>
      <w:instrText xml:space="preserve">PAGE</w:instrText>
      <w:fldChar w:fldCharType="separate"/>
      <w:fldChar w:fldCharType="end"/>
    </w:r>
    <w:r>
      <w:rPr>
        <w:color w:val="505A5F"/>
        <w:sz w:val="14"/>
        <w:szCs w:val="14"/>
      </w:rPr>
      <w:t xml:space="preserve"> of </w:t>
    </w:r>
    <w:r>
      <w:rPr>
        <w:color w:val="505A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abstractNum w:abstractNumId="3"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C0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0C0C"/>
      <w:sz w:val="26"/>
      <w:szCs w:val="26"/>
    </w:rPr>
  </w:style>
  <w:style w:type="paragraph" w:styleId="Heading2">
    <w:name w:val="Heading 2"/>
    <w:basedOn w:val="Normal"/>
    <w:next w:val="Normal"/>
    <w:qFormat/>
    <w:rPr>
      <w:rFonts w:ascii="Calibri" w:cs="Calibri" w:eastAsia="Calibri" w:hAnsi="Calibri"/>
      <w:b/>
      <w:bCs/>
      <w:color w:val="1D70B8"/>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9b3d58c5edc82c89e170f6f1c0388e29a76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Solution Design Configuration specification, ADR.040 Migrant Workers Scan</dc:title>
  <dc:creator>Integration Catalogue Bot</dc:creator>
  <dc:description>MFT-INT-001 (leg A, internal) and MFT-EXT-001 (leg B, external)</dc:description>
  <cp:lastModifiedBy>Un-named</cp:lastModifiedBy>
  <cp:revision>1</cp:revision>
  <dcterms:created xsi:type="dcterms:W3CDTF">2026-09-10T09:29:36.941Z</dcterms:created>
  <dcterms:modified xsi:type="dcterms:W3CDTF">2026-09-10T09:29:36.942Z</dcterms:modified>
</cp:coreProperties>
</file>

<file path=docProps/custom.xml><?xml version="1.0" encoding="utf-8"?>
<Properties xmlns="http://schemas.openxmlformats.org/officeDocument/2006/custom-properties" xmlns:vt="http://schemas.openxmlformats.org/officeDocument/2006/docPropsVTypes"/>
</file>