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D2B3A"/>
          <w:sz w:val="40"/>
          <w:szCs w:val="40"/>
        </w:rPr>
        <w:t xml:space="preserve">Boomi Managed File Transfer</w:t>
      </w:r>
    </w:p>
    <w:p>
      <w:pPr>
        <w:pBdr>
          <w:bottom w:val="single" w:color="1D2B3A" w:sz="8" w:space="4"/>
        </w:pBdr>
        <w:spacing w:after="200"/>
      </w:pPr>
      <w:r>
        <w:rPr>
          <w:rFonts w:ascii="Arial" w:cs="Arial" w:eastAsia="Arial" w:hAnsi="Arial"/>
          <w:b/>
          <w:bCs/>
          <w:sz w:val="26"/>
          <w:szCs w:val="26"/>
        </w:rPr>
        <w:t xml:space="preserve">MVP | Recommended High-Level Delivery Steps</w:t>
      </w:r>
    </w:p>
    <w:p>
      <w:pPr>
        <w:spacing w:after="100"/>
      </w:pPr>
      <w:r>
        <w:rPr>
          <w:rFonts w:ascii="Arial" w:cs="Arial" w:eastAsia="Arial" w:hAnsi="Arial"/>
          <w:sz w:val="20"/>
          <w:szCs w:val="20"/>
        </w:rPr>
        <w:t xml:space="preserve">Companion to the MVP Executive Concept Note (Draft v0.2). Dates are intentionally excluded. Steps are sequenced by dependency and grouped into phases with exit gates, so they can be scheduled once environment and connectivity lead times are known.</w:t>
      </w:r>
    </w:p>
    <w:p>
      <w:pPr>
        <w:pStyle w:val="Heading1"/>
        <w:spacing w:after="120" w:before="240"/>
      </w:pPr>
      <w:r>
        <w:rPr>
          <w:rFonts w:ascii="Arial" w:cs="Arial" w:eastAsia="Arial" w:hAnsi="Arial"/>
          <w:b/>
          <w:bCs/>
          <w:color w:val="1D2B3A"/>
          <w:sz w:val="30"/>
          <w:szCs w:val="30"/>
        </w:rPr>
        <w:t xml:space="preserve">1. Use case recap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826"/>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200"/>
            <w:tcMar>
              <w:top w:type="dxa" w:w="60"/>
              <w:left w:type="dxa" w:w="100"/>
              <w:bottom w:type="dxa" w:w="60"/>
              <w:right w:type="dxa" w:w="100"/>
            </w:tcMar>
          </w:tcPr>
          <w:p>
            <w:r>
              <w:rPr>
                <w:rFonts w:ascii="Arial" w:cs="Arial" w:eastAsia="Arial" w:hAnsi="Arial"/>
                <w:sz w:val="20"/>
                <w:szCs w:val="20"/>
              </w:rPr>
              <w:t xml:space="preserve">Candidate</w:t>
            </w:r>
          </w:p>
        </w:tc>
        <w:tc>
          <w:tcPr>
            <w:tcW w:type="dxa" w:w="6826"/>
            <w:tcMar>
              <w:top w:type="dxa" w:w="60"/>
              <w:left w:type="dxa" w:w="100"/>
              <w:bottom w:type="dxa" w:w="60"/>
              <w:right w:type="dxa" w:w="100"/>
            </w:tcMar>
          </w:tcPr>
          <w:p>
            <w:r>
              <w:rPr>
                <w:rFonts w:ascii="Arial" w:cs="Arial" w:eastAsia="Arial" w:hAnsi="Arial"/>
                <w:sz w:val="20"/>
                <w:szCs w:val="20"/>
              </w:rPr>
              <w:t xml:space="preserve">ADR.040 / ADR.041 Migrant Workers Scan (quarterly feed)</w:t>
            </w:r>
          </w:p>
        </w:tc>
      </w:tr>
      <w:tr>
        <w:tc>
          <w:tcPr>
            <w:tcW w:type="dxa" w:w="2200"/>
            <w:tcMar>
              <w:top w:type="dxa" w:w="60"/>
              <w:left w:type="dxa" w:w="100"/>
              <w:bottom w:type="dxa" w:w="60"/>
              <w:right w:type="dxa" w:w="100"/>
            </w:tcMar>
          </w:tcPr>
          <w:p>
            <w:r>
              <w:rPr>
                <w:rFonts w:ascii="Arial" w:cs="Arial" w:eastAsia="Arial" w:hAnsi="Arial"/>
                <w:sz w:val="20"/>
                <w:szCs w:val="20"/>
              </w:rPr>
              <w:t xml:space="preserve">Leg A</w:t>
            </w:r>
          </w:p>
        </w:tc>
        <w:tc>
          <w:tcPr>
            <w:tcW w:type="dxa" w:w="6826"/>
            <w:tcMar>
              <w:top w:type="dxa" w:w="60"/>
              <w:left w:type="dxa" w:w="100"/>
              <w:bottom w:type="dxa" w:w="60"/>
              <w:right w:type="dxa" w:w="100"/>
            </w:tcMar>
          </w:tcPr>
          <w:p>
            <w:r>
              <w:rPr>
                <w:rFonts w:ascii="Arial" w:cs="Arial" w:eastAsia="Arial" w:hAnsi="Arial"/>
                <w:sz w:val="20"/>
                <w:szCs w:val="20"/>
              </w:rPr>
              <w:t xml:space="preserve">NPS to ADR landing area (replaces current UTM transfer)</w:t>
            </w:r>
          </w:p>
        </w:tc>
      </w:tr>
      <w:tr>
        <w:tc>
          <w:tcPr>
            <w:tcW w:type="dxa" w:w="2200"/>
            <w:tcMar>
              <w:top w:type="dxa" w:w="60"/>
              <w:left w:type="dxa" w:w="100"/>
              <w:bottom w:type="dxa" w:w="60"/>
              <w:right w:type="dxa" w:w="100"/>
            </w:tcMar>
          </w:tcPr>
          <w:p>
            <w:r>
              <w:rPr>
                <w:rFonts w:ascii="Arial" w:cs="Arial" w:eastAsia="Arial" w:hAnsi="Arial"/>
                <w:sz w:val="20"/>
                <w:szCs w:val="20"/>
              </w:rPr>
              <w:t xml:space="preserve">Leg B</w:t>
            </w:r>
          </w:p>
        </w:tc>
        <w:tc>
          <w:tcPr>
            <w:tcW w:type="dxa" w:w="6826"/>
            <w:tcMar>
              <w:top w:type="dxa" w:w="60"/>
              <w:left w:type="dxa" w:w="100"/>
              <w:bottom w:type="dxa" w:w="60"/>
              <w:right w:type="dxa" w:w="100"/>
            </w:tcMar>
          </w:tcPr>
          <w:p>
            <w:r>
              <w:rPr>
                <w:rFonts w:ascii="Arial" w:cs="Arial" w:eastAsia="Arial" w:hAnsi="Arial"/>
                <w:sz w:val="20"/>
                <w:szCs w:val="20"/>
              </w:rPr>
              <w:t xml:space="preserve">ADR output area direct to ONS (removes IF and SDES server hop)</w:t>
            </w:r>
          </w:p>
        </w:tc>
      </w:tr>
    </w:tbl>
    <w:p>
      <w:pPr>
        <w:pStyle w:val="Heading1"/>
        <w:spacing w:after="120" w:before="240"/>
      </w:pPr>
      <w:r>
        <w:rPr>
          <w:rFonts w:ascii="Arial" w:cs="Arial" w:eastAsia="Arial" w:hAnsi="Arial"/>
          <w:b/>
          <w:bCs/>
          <w:color w:val="1D2B3A"/>
          <w:sz w:val="30"/>
          <w:szCs w:val="30"/>
        </w:rPr>
        <w:t xml:space="preserve">2. Phase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600"/>
        <w:gridCol w:w="4426"/>
      </w:tblGrid>
      <w:tr>
        <w:trPr>
          <w:tblHeader/>
        </w:trPr>
        <w:tc>
          <w:tcPr>
            <w:tcW w:type="dxa" w:w="7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3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Track</w:t>
            </w:r>
          </w:p>
        </w:tc>
        <w:tc>
          <w:tcPr>
            <w:tcW w:type="dxa" w:w="4426"/>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Exit gate</w:t>
            </w:r>
          </w:p>
        </w:tc>
      </w:tr>
      <w:tr>
        <w:tc>
          <w:tcPr>
            <w:tcW w:type="dxa" w:w="700"/>
            <w:tcMar>
              <w:top w:type="dxa" w:w="60"/>
              <w:left w:type="dxa" w:w="100"/>
              <w:bottom w:type="dxa" w:w="60"/>
              <w:right w:type="dxa" w:w="100"/>
            </w:tcMar>
          </w:tcPr>
          <w:p>
            <w:r>
              <w:rPr>
                <w:rFonts w:ascii="Arial" w:cs="Arial" w:eastAsia="Arial" w:hAnsi="Arial"/>
                <w:sz w:val="20"/>
                <w:szCs w:val="20"/>
              </w:rPr>
              <w:t xml:space="preserve">P0</w:t>
            </w:r>
          </w:p>
        </w:tc>
        <w:tc>
          <w:tcPr>
            <w:tcW w:type="dxa" w:w="2300"/>
            <w:tcMar>
              <w:top w:type="dxa" w:w="60"/>
              <w:left w:type="dxa" w:w="100"/>
              <w:bottom w:type="dxa" w:w="60"/>
              <w:right w:type="dxa" w:w="100"/>
            </w:tcMar>
          </w:tcPr>
          <w:p>
            <w:r>
              <w:rPr>
                <w:rFonts w:ascii="Arial" w:cs="Arial" w:eastAsia="Arial" w:hAnsi="Arial"/>
                <w:sz w:val="20"/>
                <w:szCs w:val="20"/>
              </w:rPr>
              <w:t xml:space="preserve">Mobilise and confirm</w:t>
            </w:r>
          </w:p>
        </w:tc>
        <w:tc>
          <w:tcPr>
            <w:tcW w:type="dxa" w:w="1600"/>
            <w:tcMar>
              <w:top w:type="dxa" w:w="60"/>
              <w:left w:type="dxa" w:w="100"/>
              <w:bottom w:type="dxa" w:w="60"/>
              <w:right w:type="dxa" w:w="100"/>
            </w:tcMar>
          </w:tcPr>
          <w:p>
            <w:r>
              <w:rPr>
                <w:rFonts w:ascii="Arial" w:cs="Arial" w:eastAsia="Arial" w:hAnsi="Arial"/>
                <w:sz w:val="20"/>
                <w:szCs w:val="20"/>
              </w:rPr>
              <w:t xml:space="preserve">Governance</w:t>
            </w:r>
          </w:p>
        </w:tc>
        <w:tc>
          <w:tcPr>
            <w:tcW w:type="dxa" w:w="4426"/>
            <w:tcMar>
              <w:top w:type="dxa" w:w="60"/>
              <w:left w:type="dxa" w:w="100"/>
              <w:bottom w:type="dxa" w:w="60"/>
              <w:right w:type="dxa" w:w="100"/>
            </w:tcMar>
          </w:tcPr>
          <w:p>
            <w:r>
              <w:rPr>
                <w:rFonts w:ascii="Arial" w:cs="Arial" w:eastAsia="Arial" w:hAnsi="Arial"/>
                <w:sz w:val="20"/>
                <w:szCs w:val="20"/>
              </w:rPr>
              <w:t xml:space="preserve">Decision log signed off; owners named; file profile confirmed</w:t>
            </w:r>
          </w:p>
        </w:tc>
      </w:tr>
      <w:tr>
        <w:tc>
          <w:tcPr>
            <w:tcW w:type="dxa" w:w="700"/>
            <w:tcMar>
              <w:top w:type="dxa" w:w="60"/>
              <w:left w:type="dxa" w:w="100"/>
              <w:bottom w:type="dxa" w:w="60"/>
              <w:right w:type="dxa" w:w="100"/>
            </w:tcMar>
          </w:tcPr>
          <w:p>
            <w:r>
              <w:rPr>
                <w:rFonts w:ascii="Arial" w:cs="Arial" w:eastAsia="Arial" w:hAnsi="Arial"/>
                <w:sz w:val="20"/>
                <w:szCs w:val="20"/>
              </w:rPr>
              <w:t xml:space="preserve">P1</w:t>
            </w:r>
          </w:p>
        </w:tc>
        <w:tc>
          <w:tcPr>
            <w:tcW w:type="dxa" w:w="2300"/>
            <w:tcMar>
              <w:top w:type="dxa" w:w="60"/>
              <w:left w:type="dxa" w:w="100"/>
              <w:bottom w:type="dxa" w:w="60"/>
              <w:right w:type="dxa" w:w="100"/>
            </w:tcMar>
          </w:tcPr>
          <w:p>
            <w:r>
              <w:rPr>
                <w:rFonts w:ascii="Arial" w:cs="Arial" w:eastAsia="Arial" w:hAnsi="Arial"/>
                <w:sz w:val="20"/>
                <w:szCs w:val="20"/>
              </w:rPr>
              <w:t xml:space="preserve">Environments and connectivity</w:t>
            </w:r>
          </w:p>
        </w:tc>
        <w:tc>
          <w:tcPr>
            <w:tcW w:type="dxa" w:w="1600"/>
            <w:tcMar>
              <w:top w:type="dxa" w:w="60"/>
              <w:left w:type="dxa" w:w="100"/>
              <w:bottom w:type="dxa" w:w="60"/>
              <w:right w:type="dxa" w:w="100"/>
            </w:tcMar>
          </w:tcPr>
          <w:p>
            <w:r>
              <w:rPr>
                <w:rFonts w:ascii="Arial" w:cs="Arial" w:eastAsia="Arial" w:hAnsi="Arial"/>
                <w:sz w:val="20"/>
                <w:szCs w:val="20"/>
              </w:rPr>
              <w:t xml:space="preserve">Platform (critical path)</w:t>
            </w:r>
          </w:p>
        </w:tc>
        <w:tc>
          <w:tcPr>
            <w:tcW w:type="dxa" w:w="4426"/>
            <w:tcMar>
              <w:top w:type="dxa" w:w="60"/>
              <w:left w:type="dxa" w:w="100"/>
              <w:bottom w:type="dxa" w:w="60"/>
              <w:right w:type="dxa" w:w="100"/>
            </w:tcMar>
          </w:tcPr>
          <w:p>
            <w:r>
              <w:rPr>
                <w:rFonts w:ascii="Arial" w:cs="Arial" w:eastAsia="Arial" w:hAnsi="Arial"/>
                <w:sz w:val="20"/>
                <w:szCs w:val="20"/>
              </w:rPr>
              <w:t xml:space="preserve">All endpoints reachable from runtime in lower environments with evidence</w:t>
            </w:r>
          </w:p>
        </w:tc>
      </w:tr>
      <w:tr>
        <w:tc>
          <w:tcPr>
            <w:tcW w:type="dxa" w:w="700"/>
            <w:tcMar>
              <w:top w:type="dxa" w:w="60"/>
              <w:left w:type="dxa" w:w="100"/>
              <w:bottom w:type="dxa" w:w="60"/>
              <w:right w:type="dxa" w:w="100"/>
            </w:tcMar>
          </w:tcPr>
          <w:p>
            <w:r>
              <w:rPr>
                <w:rFonts w:ascii="Arial" w:cs="Arial" w:eastAsia="Arial" w:hAnsi="Arial"/>
                <w:sz w:val="20"/>
                <w:szCs w:val="20"/>
              </w:rPr>
              <w:t xml:space="preserve">P2</w:t>
            </w:r>
          </w:p>
        </w:tc>
        <w:tc>
          <w:tcPr>
            <w:tcW w:type="dxa" w:w="2300"/>
            <w:tcMar>
              <w:top w:type="dxa" w:w="60"/>
              <w:left w:type="dxa" w:w="100"/>
              <w:bottom w:type="dxa" w:w="60"/>
              <w:right w:type="dxa" w:w="100"/>
            </w:tcMar>
          </w:tcPr>
          <w:p>
            <w:r>
              <w:rPr>
                <w:rFonts w:ascii="Arial" w:cs="Arial" w:eastAsia="Arial" w:hAnsi="Arial"/>
                <w:sz w:val="20"/>
                <w:szCs w:val="20"/>
              </w:rPr>
              <w:t xml:space="preserve">Security and credentials</w:t>
            </w:r>
          </w:p>
        </w:tc>
        <w:tc>
          <w:tcPr>
            <w:tcW w:type="dxa" w:w="1600"/>
            <w:tcMar>
              <w:top w:type="dxa" w:w="60"/>
              <w:left w:type="dxa" w:w="100"/>
              <w:bottom w:type="dxa" w:w="60"/>
              <w:right w:type="dxa" w:w="100"/>
            </w:tcMar>
          </w:tcPr>
          <w:p>
            <w:r>
              <w:rPr>
                <w:rFonts w:ascii="Arial" w:cs="Arial" w:eastAsia="Arial" w:hAnsi="Arial"/>
                <w:sz w:val="20"/>
                <w:szCs w:val="20"/>
              </w:rPr>
              <w:t xml:space="preserve">Security</w:t>
            </w:r>
          </w:p>
        </w:tc>
        <w:tc>
          <w:tcPr>
            <w:tcW w:type="dxa" w:w="4426"/>
            <w:tcMar>
              <w:top w:type="dxa" w:w="60"/>
              <w:left w:type="dxa" w:w="100"/>
              <w:bottom w:type="dxa" w:w="60"/>
              <w:right w:type="dxa" w:w="100"/>
            </w:tcMar>
          </w:tcPr>
          <w:p>
            <w:r>
              <w:rPr>
                <w:rFonts w:ascii="Arial" w:cs="Arial" w:eastAsia="Arial" w:hAnsi="Arial"/>
                <w:sz w:val="20"/>
                <w:szCs w:val="20"/>
              </w:rPr>
              <w:t xml:space="preserve">Security design approved; credentials and keys in place</w:t>
            </w:r>
          </w:p>
        </w:tc>
      </w:tr>
      <w:tr>
        <w:tc>
          <w:tcPr>
            <w:tcW w:type="dxa" w:w="700"/>
            <w:tcMar>
              <w:top w:type="dxa" w:w="60"/>
              <w:left w:type="dxa" w:w="100"/>
              <w:bottom w:type="dxa" w:w="60"/>
              <w:right w:type="dxa" w:w="100"/>
            </w:tcMar>
          </w:tcPr>
          <w:p>
            <w:r>
              <w:rPr>
                <w:rFonts w:ascii="Arial" w:cs="Arial" w:eastAsia="Arial" w:hAnsi="Arial"/>
                <w:sz w:val="20"/>
                <w:szCs w:val="20"/>
              </w:rPr>
              <w:t xml:space="preserve">P3</w:t>
            </w:r>
          </w:p>
        </w:tc>
        <w:tc>
          <w:tcPr>
            <w:tcW w:type="dxa" w:w="2300"/>
            <w:tcMar>
              <w:top w:type="dxa" w:w="60"/>
              <w:left w:type="dxa" w:w="100"/>
              <w:bottom w:type="dxa" w:w="60"/>
              <w:right w:type="dxa" w:w="100"/>
            </w:tcMar>
          </w:tcPr>
          <w:p>
            <w:r>
              <w:rPr>
                <w:rFonts w:ascii="Arial" w:cs="Arial" w:eastAsia="Arial" w:hAnsi="Arial"/>
                <w:sz w:val="20"/>
                <w:szCs w:val="20"/>
              </w:rPr>
              <w:t xml:space="preserve">Configure Leg A (NPS to ADR)</w:t>
            </w:r>
          </w:p>
        </w:tc>
        <w:tc>
          <w:tcPr>
            <w:tcW w:type="dxa" w:w="1600"/>
            <w:tcMar>
              <w:top w:type="dxa" w:w="60"/>
              <w:left w:type="dxa" w:w="100"/>
              <w:bottom w:type="dxa" w:w="60"/>
              <w:right w:type="dxa" w:w="100"/>
            </w:tcMar>
          </w:tcPr>
          <w:p>
            <w:r>
              <w:rPr>
                <w:rFonts w:ascii="Arial" w:cs="Arial" w:eastAsia="Arial" w:hAnsi="Arial"/>
                <w:sz w:val="20"/>
                <w:szCs w:val="20"/>
              </w:rPr>
              <w:t xml:space="preserve">Build</w:t>
            </w:r>
          </w:p>
        </w:tc>
        <w:tc>
          <w:tcPr>
            <w:tcW w:type="dxa" w:w="4426"/>
            <w:tcMar>
              <w:top w:type="dxa" w:w="60"/>
              <w:left w:type="dxa" w:w="100"/>
              <w:bottom w:type="dxa" w:w="60"/>
              <w:right w:type="dxa" w:w="100"/>
            </w:tcMar>
          </w:tcPr>
          <w:p>
            <w:r>
              <w:rPr>
                <w:rFonts w:ascii="Arial" w:cs="Arial" w:eastAsia="Arial" w:hAnsi="Arial"/>
                <w:sz w:val="20"/>
                <w:szCs w:val="20"/>
              </w:rPr>
              <w:t xml:space="preserve">Leg A runs in Dev with a synthetic file</w:t>
            </w:r>
          </w:p>
        </w:tc>
      </w:tr>
      <w:tr>
        <w:tc>
          <w:tcPr>
            <w:tcW w:type="dxa" w:w="700"/>
            <w:tcMar>
              <w:top w:type="dxa" w:w="60"/>
              <w:left w:type="dxa" w:w="100"/>
              <w:bottom w:type="dxa" w:w="60"/>
              <w:right w:type="dxa" w:w="100"/>
            </w:tcMar>
          </w:tcPr>
          <w:p>
            <w:r>
              <w:rPr>
                <w:rFonts w:ascii="Arial" w:cs="Arial" w:eastAsia="Arial" w:hAnsi="Arial"/>
                <w:sz w:val="20"/>
                <w:szCs w:val="20"/>
              </w:rPr>
              <w:t xml:space="preserve">P4</w:t>
            </w:r>
          </w:p>
        </w:tc>
        <w:tc>
          <w:tcPr>
            <w:tcW w:type="dxa" w:w="2300"/>
            <w:tcMar>
              <w:top w:type="dxa" w:w="60"/>
              <w:left w:type="dxa" w:w="100"/>
              <w:bottom w:type="dxa" w:w="60"/>
              <w:right w:type="dxa" w:w="100"/>
            </w:tcMar>
          </w:tcPr>
          <w:p>
            <w:r>
              <w:rPr>
                <w:rFonts w:ascii="Arial" w:cs="Arial" w:eastAsia="Arial" w:hAnsi="Arial"/>
                <w:sz w:val="20"/>
                <w:szCs w:val="20"/>
              </w:rPr>
              <w:t xml:space="preserve">Configure Leg B (ADR to ONS)</w:t>
            </w:r>
          </w:p>
        </w:tc>
        <w:tc>
          <w:tcPr>
            <w:tcW w:type="dxa" w:w="1600"/>
            <w:tcMar>
              <w:top w:type="dxa" w:w="60"/>
              <w:left w:type="dxa" w:w="100"/>
              <w:bottom w:type="dxa" w:w="60"/>
              <w:right w:type="dxa" w:w="100"/>
            </w:tcMar>
          </w:tcPr>
          <w:p>
            <w:r>
              <w:rPr>
                <w:rFonts w:ascii="Arial" w:cs="Arial" w:eastAsia="Arial" w:hAnsi="Arial"/>
                <w:sz w:val="20"/>
                <w:szCs w:val="20"/>
              </w:rPr>
              <w:t xml:space="preserve">Build</w:t>
            </w:r>
          </w:p>
        </w:tc>
        <w:tc>
          <w:tcPr>
            <w:tcW w:type="dxa" w:w="4426"/>
            <w:tcMar>
              <w:top w:type="dxa" w:w="60"/>
              <w:left w:type="dxa" w:w="100"/>
              <w:bottom w:type="dxa" w:w="60"/>
              <w:right w:type="dxa" w:w="100"/>
            </w:tcMar>
          </w:tcPr>
          <w:p>
            <w:r>
              <w:rPr>
                <w:rFonts w:ascii="Arial" w:cs="Arial" w:eastAsia="Arial" w:hAnsi="Arial"/>
                <w:sz w:val="20"/>
                <w:szCs w:val="20"/>
              </w:rPr>
              <w:t xml:space="preserve">Leg B delivers to ONS lower environment with acknowledgement</w:t>
            </w:r>
          </w:p>
        </w:tc>
      </w:tr>
      <w:tr>
        <w:tc>
          <w:tcPr>
            <w:tcW w:type="dxa" w:w="700"/>
            <w:tcMar>
              <w:top w:type="dxa" w:w="60"/>
              <w:left w:type="dxa" w:w="100"/>
              <w:bottom w:type="dxa" w:w="60"/>
              <w:right w:type="dxa" w:w="100"/>
            </w:tcMar>
          </w:tcPr>
          <w:p>
            <w:r>
              <w:rPr>
                <w:rFonts w:ascii="Arial" w:cs="Arial" w:eastAsia="Arial" w:hAnsi="Arial"/>
                <w:sz w:val="20"/>
                <w:szCs w:val="20"/>
              </w:rPr>
              <w:t xml:space="preserve">P5</w:t>
            </w:r>
          </w:p>
        </w:tc>
        <w:tc>
          <w:tcPr>
            <w:tcW w:type="dxa" w:w="2300"/>
            <w:tcMar>
              <w:top w:type="dxa" w:w="60"/>
              <w:left w:type="dxa" w:w="100"/>
              <w:bottom w:type="dxa" w:w="60"/>
              <w:right w:type="dxa" w:w="100"/>
            </w:tcMar>
          </w:tcPr>
          <w:p>
            <w:r>
              <w:rPr>
                <w:rFonts w:ascii="Arial" w:cs="Arial" w:eastAsia="Arial" w:hAnsi="Arial"/>
                <w:sz w:val="20"/>
                <w:szCs w:val="20"/>
              </w:rPr>
              <w:t xml:space="preserve">CI/CD promotion</w:t>
            </w:r>
          </w:p>
        </w:tc>
        <w:tc>
          <w:tcPr>
            <w:tcW w:type="dxa" w:w="1600"/>
            <w:tcMar>
              <w:top w:type="dxa" w:w="60"/>
              <w:left w:type="dxa" w:w="100"/>
              <w:bottom w:type="dxa" w:w="60"/>
              <w:right w:type="dxa" w:w="100"/>
            </w:tcMar>
          </w:tcPr>
          <w:p>
            <w:r>
              <w:rPr>
                <w:rFonts w:ascii="Arial" w:cs="Arial" w:eastAsia="Arial" w:hAnsi="Arial"/>
                <w:sz w:val="20"/>
                <w:szCs w:val="20"/>
              </w:rPr>
              <w:t xml:space="preserve">Build</w:t>
            </w:r>
          </w:p>
        </w:tc>
        <w:tc>
          <w:tcPr>
            <w:tcW w:type="dxa" w:w="4426"/>
            <w:tcMar>
              <w:top w:type="dxa" w:w="60"/>
              <w:left w:type="dxa" w:w="100"/>
              <w:bottom w:type="dxa" w:w="60"/>
              <w:right w:type="dxa" w:w="100"/>
            </w:tcMar>
          </w:tcPr>
          <w:p>
            <w:r>
              <w:rPr>
                <w:rFonts w:ascii="Arial" w:cs="Arial" w:eastAsia="Arial" w:hAnsi="Arial"/>
                <w:sz w:val="20"/>
                <w:szCs w:val="20"/>
              </w:rPr>
              <w:t xml:space="preserve">Both legs promoted to Pre-prod via approved pipeline with audit trail</w:t>
            </w:r>
          </w:p>
        </w:tc>
      </w:tr>
      <w:tr>
        <w:tc>
          <w:tcPr>
            <w:tcW w:type="dxa" w:w="700"/>
            <w:tcMar>
              <w:top w:type="dxa" w:w="60"/>
              <w:left w:type="dxa" w:w="100"/>
              <w:bottom w:type="dxa" w:w="60"/>
              <w:right w:type="dxa" w:w="100"/>
            </w:tcMar>
          </w:tcPr>
          <w:p>
            <w:r>
              <w:rPr>
                <w:rFonts w:ascii="Arial" w:cs="Arial" w:eastAsia="Arial" w:hAnsi="Arial"/>
                <w:sz w:val="20"/>
                <w:szCs w:val="20"/>
              </w:rPr>
              <w:t xml:space="preserve">P6</w:t>
            </w:r>
          </w:p>
        </w:tc>
        <w:tc>
          <w:tcPr>
            <w:tcW w:type="dxa" w:w="2300"/>
            <w:tcMar>
              <w:top w:type="dxa" w:w="60"/>
              <w:left w:type="dxa" w:w="100"/>
              <w:bottom w:type="dxa" w:w="60"/>
              <w:right w:type="dxa" w:w="100"/>
            </w:tcMar>
          </w:tcPr>
          <w:p>
            <w:r>
              <w:rPr>
                <w:rFonts w:ascii="Arial" w:cs="Arial" w:eastAsia="Arial" w:hAnsi="Arial"/>
                <w:sz w:val="20"/>
                <w:szCs w:val="20"/>
              </w:rPr>
              <w:t xml:space="preserve">Observability and audit</w:t>
            </w:r>
          </w:p>
        </w:tc>
        <w:tc>
          <w:tcPr>
            <w:tcW w:type="dxa" w:w="1600"/>
            <w:tcMar>
              <w:top w:type="dxa" w:w="60"/>
              <w:left w:type="dxa" w:w="100"/>
              <w:bottom w:type="dxa" w:w="60"/>
              <w:right w:type="dxa" w:w="100"/>
            </w:tcMar>
          </w:tcPr>
          <w:p>
            <w:r>
              <w:rPr>
                <w:rFonts w:ascii="Arial" w:cs="Arial" w:eastAsia="Arial" w:hAnsi="Arial"/>
                <w:sz w:val="20"/>
                <w:szCs w:val="20"/>
              </w:rPr>
              <w:t xml:space="preserve">Operate</w:t>
            </w:r>
          </w:p>
        </w:tc>
        <w:tc>
          <w:tcPr>
            <w:tcW w:type="dxa" w:w="4426"/>
            <w:tcMar>
              <w:top w:type="dxa" w:w="60"/>
              <w:left w:type="dxa" w:w="100"/>
              <w:bottom w:type="dxa" w:w="60"/>
              <w:right w:type="dxa" w:w="100"/>
            </w:tcMar>
          </w:tcPr>
          <w:p>
            <w:r>
              <w:rPr>
                <w:rFonts w:ascii="Arial" w:cs="Arial" w:eastAsia="Arial" w:hAnsi="Arial"/>
                <w:sz w:val="20"/>
                <w:szCs w:val="20"/>
              </w:rPr>
              <w:t xml:space="preserve">Dashboards and alerts demonstrated to operations</w:t>
            </w:r>
          </w:p>
        </w:tc>
      </w:tr>
      <w:tr>
        <w:tc>
          <w:tcPr>
            <w:tcW w:type="dxa" w:w="700"/>
            <w:tcMar>
              <w:top w:type="dxa" w:w="60"/>
              <w:left w:type="dxa" w:w="100"/>
              <w:bottom w:type="dxa" w:w="60"/>
              <w:right w:type="dxa" w:w="100"/>
            </w:tcMar>
          </w:tcPr>
          <w:p>
            <w:r>
              <w:rPr>
                <w:rFonts w:ascii="Arial" w:cs="Arial" w:eastAsia="Arial" w:hAnsi="Arial"/>
                <w:sz w:val="20"/>
                <w:szCs w:val="20"/>
              </w:rPr>
              <w:t xml:space="preserve">P7</w:t>
            </w:r>
          </w:p>
        </w:tc>
        <w:tc>
          <w:tcPr>
            <w:tcW w:type="dxa" w:w="2300"/>
            <w:tcMar>
              <w:top w:type="dxa" w:w="60"/>
              <w:left w:type="dxa" w:w="100"/>
              <w:bottom w:type="dxa" w:w="60"/>
              <w:right w:type="dxa" w:w="100"/>
            </w:tcMar>
          </w:tcPr>
          <w:p>
            <w:r>
              <w:rPr>
                <w:rFonts w:ascii="Arial" w:cs="Arial" w:eastAsia="Arial" w:hAnsi="Arial"/>
                <w:sz w:val="20"/>
                <w:szCs w:val="20"/>
              </w:rPr>
              <w:t xml:space="preserve">Test</w:t>
            </w:r>
          </w:p>
        </w:tc>
        <w:tc>
          <w:tcPr>
            <w:tcW w:type="dxa" w:w="1600"/>
            <w:tcMar>
              <w:top w:type="dxa" w:w="60"/>
              <w:left w:type="dxa" w:w="100"/>
              <w:bottom w:type="dxa" w:w="60"/>
              <w:right w:type="dxa" w:w="100"/>
            </w:tcMar>
          </w:tcPr>
          <w:p>
            <w:r>
              <w:rPr>
                <w:rFonts w:ascii="Arial" w:cs="Arial" w:eastAsia="Arial" w:hAnsi="Arial"/>
                <w:sz w:val="20"/>
                <w:szCs w:val="20"/>
              </w:rPr>
              <w:t xml:space="preserve">Assure</w:t>
            </w:r>
          </w:p>
        </w:tc>
        <w:tc>
          <w:tcPr>
            <w:tcW w:type="dxa" w:w="4426"/>
            <w:tcMar>
              <w:top w:type="dxa" w:w="60"/>
              <w:left w:type="dxa" w:w="100"/>
              <w:bottom w:type="dxa" w:w="60"/>
              <w:right w:type="dxa" w:w="100"/>
            </w:tcMar>
          </w:tcPr>
          <w:p>
            <w:r>
              <w:rPr>
                <w:rFonts w:ascii="Arial" w:cs="Arial" w:eastAsia="Arial" w:hAnsi="Arial"/>
                <w:sz w:val="20"/>
                <w:szCs w:val="20"/>
              </w:rPr>
              <w:t xml:space="preserve">Evidence pack reviewed; defects closed or accepted</w:t>
            </w:r>
          </w:p>
        </w:tc>
      </w:tr>
      <w:tr>
        <w:tc>
          <w:tcPr>
            <w:tcW w:type="dxa" w:w="700"/>
            <w:tcMar>
              <w:top w:type="dxa" w:w="60"/>
              <w:left w:type="dxa" w:w="100"/>
              <w:bottom w:type="dxa" w:w="60"/>
              <w:right w:type="dxa" w:w="100"/>
            </w:tcMar>
          </w:tcPr>
          <w:p>
            <w:r>
              <w:rPr>
                <w:rFonts w:ascii="Arial" w:cs="Arial" w:eastAsia="Arial" w:hAnsi="Arial"/>
                <w:sz w:val="20"/>
                <w:szCs w:val="20"/>
              </w:rPr>
              <w:t xml:space="preserve">P8</w:t>
            </w:r>
          </w:p>
        </w:tc>
        <w:tc>
          <w:tcPr>
            <w:tcW w:type="dxa" w:w="2300"/>
            <w:tcMar>
              <w:top w:type="dxa" w:w="60"/>
              <w:left w:type="dxa" w:w="100"/>
              <w:bottom w:type="dxa" w:w="60"/>
              <w:right w:type="dxa" w:w="100"/>
            </w:tcMar>
          </w:tcPr>
          <w:p>
            <w:r>
              <w:rPr>
                <w:rFonts w:ascii="Arial" w:cs="Arial" w:eastAsia="Arial" w:hAnsi="Arial"/>
                <w:sz w:val="20"/>
                <w:szCs w:val="20"/>
              </w:rPr>
              <w:t xml:space="preserve">Prove in production and hand over</w:t>
            </w:r>
          </w:p>
        </w:tc>
        <w:tc>
          <w:tcPr>
            <w:tcW w:type="dxa" w:w="1600"/>
            <w:tcMar>
              <w:top w:type="dxa" w:w="60"/>
              <w:left w:type="dxa" w:w="100"/>
              <w:bottom w:type="dxa" w:w="60"/>
              <w:right w:type="dxa" w:w="100"/>
            </w:tcMar>
          </w:tcPr>
          <w:p>
            <w:r>
              <w:rPr>
                <w:rFonts w:ascii="Arial" w:cs="Arial" w:eastAsia="Arial" w:hAnsi="Arial"/>
                <w:sz w:val="20"/>
                <w:szCs w:val="20"/>
              </w:rPr>
              <w:t xml:space="preserve">Operate</w:t>
            </w:r>
          </w:p>
        </w:tc>
        <w:tc>
          <w:tcPr>
            <w:tcW w:type="dxa" w:w="4426"/>
            <w:tcMar>
              <w:top w:type="dxa" w:w="60"/>
              <w:left w:type="dxa" w:w="100"/>
              <w:bottom w:type="dxa" w:w="60"/>
              <w:right w:type="dxa" w:w="100"/>
            </w:tcMar>
          </w:tcPr>
          <w:p>
            <w:r>
              <w:rPr>
                <w:rFonts w:ascii="Arial" w:cs="Arial" w:eastAsia="Arial" w:hAnsi="Arial"/>
                <w:sz w:val="20"/>
                <w:szCs w:val="20"/>
              </w:rPr>
              <w:t xml:space="preserve">Live feed delivered; service accepted by operations</w:t>
            </w:r>
          </w:p>
        </w:tc>
      </w:tr>
      <w:tr>
        <w:tc>
          <w:tcPr>
            <w:tcW w:type="dxa" w:w="700"/>
            <w:tcMar>
              <w:top w:type="dxa" w:w="60"/>
              <w:left w:type="dxa" w:w="100"/>
              <w:bottom w:type="dxa" w:w="60"/>
              <w:right w:type="dxa" w:w="100"/>
            </w:tcMar>
          </w:tcPr>
          <w:p>
            <w:r>
              <w:rPr>
                <w:rFonts w:ascii="Arial" w:cs="Arial" w:eastAsia="Arial" w:hAnsi="Arial"/>
                <w:sz w:val="20"/>
                <w:szCs w:val="20"/>
              </w:rPr>
              <w:t xml:space="preserve">P9</w:t>
            </w:r>
          </w:p>
        </w:tc>
        <w:tc>
          <w:tcPr>
            <w:tcW w:type="dxa" w:w="2300"/>
            <w:tcMar>
              <w:top w:type="dxa" w:w="60"/>
              <w:left w:type="dxa" w:w="100"/>
              <w:bottom w:type="dxa" w:w="60"/>
              <w:right w:type="dxa" w:w="100"/>
            </w:tcMar>
          </w:tcPr>
          <w:p>
            <w:r>
              <w:rPr>
                <w:rFonts w:ascii="Arial" w:cs="Arial" w:eastAsia="Arial" w:hAnsi="Arial"/>
                <w:sz w:val="20"/>
                <w:szCs w:val="20"/>
              </w:rPr>
              <w:t xml:space="preserve">Go/no-go and scale recommendation</w:t>
            </w:r>
          </w:p>
        </w:tc>
        <w:tc>
          <w:tcPr>
            <w:tcW w:type="dxa" w:w="1600"/>
            <w:tcMar>
              <w:top w:type="dxa" w:w="60"/>
              <w:left w:type="dxa" w:w="100"/>
              <w:bottom w:type="dxa" w:w="60"/>
              <w:right w:type="dxa" w:w="100"/>
            </w:tcMar>
          </w:tcPr>
          <w:p>
            <w:r>
              <w:rPr>
                <w:rFonts w:ascii="Arial" w:cs="Arial" w:eastAsia="Arial" w:hAnsi="Arial"/>
                <w:sz w:val="20"/>
                <w:szCs w:val="20"/>
              </w:rPr>
              <w:t xml:space="preserve">Governance</w:t>
            </w:r>
          </w:p>
        </w:tc>
        <w:tc>
          <w:tcPr>
            <w:tcW w:type="dxa" w:w="4426"/>
            <w:tcMar>
              <w:top w:type="dxa" w:w="60"/>
              <w:left w:type="dxa" w:w="100"/>
              <w:bottom w:type="dxa" w:w="60"/>
              <w:right w:type="dxa" w:w="100"/>
            </w:tcMar>
          </w:tcPr>
          <w:p>
            <w:r>
              <w:rPr>
                <w:rFonts w:ascii="Arial" w:cs="Arial" w:eastAsia="Arial" w:hAnsi="Arial"/>
                <w:sz w:val="20"/>
                <w:szCs w:val="20"/>
              </w:rPr>
              <w:t xml:space="preserve">Recommendation issued; definition of done met</w:t>
            </w:r>
          </w:p>
        </w:tc>
      </w:tr>
    </w:tbl>
    <w:p>
      <w:pPr>
        <w:pStyle w:val="Heading1"/>
        <w:spacing w:after="120" w:before="240"/>
      </w:pPr>
      <w:r>
        <w:rPr>
          <w:rFonts w:ascii="Arial" w:cs="Arial" w:eastAsia="Arial" w:hAnsi="Arial"/>
          <w:b/>
          <w:bCs/>
          <w:color w:val="1D2B3A"/>
          <w:sz w:val="30"/>
          <w:szCs w:val="30"/>
        </w:rPr>
        <w:t xml:space="preserve">3. Sequencing</w:t>
      </w:r>
    </w:p>
    <w:p>
      <w:pPr>
        <w:pStyle w:val="ListParagraph"/>
        <w:numPr>
          <w:ilvl w:val="0"/>
          <w:numId w:val="2"/>
        </w:numPr>
        <w:spacing w:after="60"/>
      </w:pPr>
      <w:r>
        <w:rPr>
          <w:rFonts w:ascii="Arial" w:cs="Arial" w:eastAsia="Arial" w:hAnsi="Arial"/>
          <w:sz w:val="20"/>
          <w:szCs w:val="20"/>
        </w:rPr>
        <w:t xml:space="preserve">Start together: P0 and P1 (network and ONS agreement are the longest lead items)</w:t>
      </w:r>
    </w:p>
    <w:p>
      <w:pPr>
        <w:pStyle w:val="ListParagraph"/>
        <w:numPr>
          <w:ilvl w:val="0"/>
          <w:numId w:val="2"/>
        </w:numPr>
        <w:spacing w:after="60"/>
      </w:pPr>
      <w:r>
        <w:rPr>
          <w:rFonts w:ascii="Arial" w:cs="Arial" w:eastAsia="Arial" w:hAnsi="Arial"/>
          <w:sz w:val="20"/>
          <w:szCs w:val="20"/>
        </w:rPr>
        <w:t xml:space="preserve">Then in parallel: P2 security, P3 Leg A, P4 Leg B</w:t>
      </w:r>
    </w:p>
    <w:p>
      <w:pPr>
        <w:pStyle w:val="ListParagraph"/>
        <w:numPr>
          <w:ilvl w:val="0"/>
          <w:numId w:val="2"/>
        </w:numPr>
        <w:spacing w:after="60"/>
      </w:pPr>
      <w:r>
        <w:rPr>
          <w:rFonts w:ascii="Arial" w:cs="Arial" w:eastAsia="Arial" w:hAnsi="Arial"/>
          <w:sz w:val="20"/>
          <w:szCs w:val="20"/>
        </w:rPr>
        <w:t xml:space="preserve">Once legs run in Dev: P5 CI/CD and P6 observability</w:t>
      </w:r>
    </w:p>
    <w:p>
      <w:pPr>
        <w:pStyle w:val="ListParagraph"/>
        <w:numPr>
          <w:ilvl w:val="0"/>
          <w:numId w:val="2"/>
        </w:numPr>
        <w:spacing w:after="60"/>
      </w:pPr>
      <w:r>
        <w:rPr>
          <w:rFonts w:ascii="Arial" w:cs="Arial" w:eastAsia="Arial" w:hAnsi="Arial"/>
          <w:sz w:val="20"/>
          <w:szCs w:val="20"/>
        </w:rPr>
        <w:t xml:space="preserve">Sequential close: P7 test, P8 production and handover, P9 recommendation</w:t>
      </w:r>
    </w:p>
    <w:p>
      <w:pPr>
        <w:pStyle w:val="Heading1"/>
        <w:spacing w:after="120" w:before="240"/>
      </w:pPr>
      <w:r>
        <w:rPr>
          <w:rFonts w:ascii="Arial" w:cs="Arial" w:eastAsia="Arial" w:hAnsi="Arial"/>
          <w:b/>
          <w:bCs/>
          <w:color w:val="1D2B3A"/>
          <w:sz w:val="30"/>
          <w:szCs w:val="30"/>
        </w:rPr>
        <w:t xml:space="preserve">4. Steps by phase</w:t>
      </w:r>
    </w:p>
    <w:p>
      <w:pPr>
        <w:pStyle w:val="Heading2"/>
        <w:spacing w:after="120" w:before="240"/>
      </w:pPr>
      <w:r>
        <w:rPr>
          <w:rFonts w:ascii="Arial" w:cs="Arial" w:eastAsia="Arial" w:hAnsi="Arial"/>
          <w:b/>
          <w:bCs/>
          <w:color w:val="1D2B3A"/>
          <w:sz w:val="24"/>
          <w:szCs w:val="24"/>
        </w:rPr>
        <w:t xml:space="preserve">P0 Mobilise and confirm</w:t>
      </w:r>
    </w:p>
    <w:p>
      <w:pPr>
        <w:spacing w:after="100"/>
      </w:pPr>
      <w:r>
        <w:rPr>
          <w:rFonts w:ascii="Arial" w:cs="Arial" w:eastAsia="Arial" w:hAnsi="Arial"/>
          <w:i/>
          <w:iCs/>
          <w:sz w:val="20"/>
          <w:szCs w:val="20"/>
        </w:rPr>
        <w:t xml:space="preserve">Lock the decisions and people the MVP depends on before any build starts.</w:t>
      </w:r>
    </w:p>
    <w:p>
      <w:pPr>
        <w:pStyle w:val="ListParagraph"/>
        <w:numPr>
          <w:ilvl w:val="0"/>
          <w:numId w:val="2"/>
        </w:numPr>
        <w:spacing w:after="60"/>
      </w:pPr>
      <w:r>
        <w:rPr>
          <w:rFonts w:ascii="Arial" w:cs="Arial" w:eastAsia="Arial" w:hAnsi="Arial"/>
          <w:sz w:val="20"/>
          <w:szCs w:val="20"/>
        </w:rPr>
        <w:t xml:space="preserve">Confirm ADR.040/041 as the MVP candidate and record the executive decision</w:t>
      </w:r>
    </w:p>
    <w:p>
      <w:pPr>
        <w:pStyle w:val="ListParagraph"/>
        <w:numPr>
          <w:ilvl w:val="0"/>
          <w:numId w:val="2"/>
        </w:numPr>
        <w:spacing w:after="60"/>
      </w:pPr>
      <w:r>
        <w:rPr>
          <w:rFonts w:ascii="Arial" w:cs="Arial" w:eastAsia="Arial" w:hAnsi="Arial"/>
          <w:sz w:val="20"/>
          <w:szCs w:val="20"/>
        </w:rPr>
        <w:t xml:space="preserve">Name owners for business, DWIT, security, network, operations, Boomi implementation and 24x7 support</w:t>
      </w:r>
    </w:p>
    <w:p>
      <w:pPr>
        <w:pStyle w:val="ListParagraph"/>
        <w:numPr>
          <w:ilvl w:val="0"/>
          <w:numId w:val="2"/>
        </w:numPr>
        <w:spacing w:after="60"/>
      </w:pPr>
      <w:r>
        <w:rPr>
          <w:rFonts w:ascii="Arial" w:cs="Arial" w:eastAsia="Arial" w:hAnsi="Arial"/>
          <w:sz w:val="20"/>
          <w:szCs w:val="20"/>
        </w:rPr>
        <w:t xml:space="preserve">Confirm data classification, file naming rules, typical and peak file sizes, and quarterly schedule</w:t>
      </w:r>
    </w:p>
    <w:p>
      <w:pPr>
        <w:pStyle w:val="ListParagraph"/>
        <w:numPr>
          <w:ilvl w:val="0"/>
          <w:numId w:val="2"/>
        </w:numPr>
        <w:spacing w:after="60"/>
      </w:pPr>
      <w:r>
        <w:rPr>
          <w:rFonts w:ascii="Arial" w:cs="Arial" w:eastAsia="Arial" w:hAnsi="Arial"/>
          <w:sz w:val="20"/>
          <w:szCs w:val="20"/>
        </w:rPr>
        <w:t xml:space="preserve">Record decision D7: build against current ADR endpoints, re-point to Data Lake later as a configuration change</w:t>
      </w:r>
    </w:p>
    <w:p>
      <w:pPr>
        <w:pStyle w:val="ListParagraph"/>
        <w:numPr>
          <w:ilvl w:val="0"/>
          <w:numId w:val="2"/>
        </w:numPr>
        <w:spacing w:after="60"/>
      </w:pPr>
      <w:r>
        <w:rPr>
          <w:rFonts w:ascii="Arial" w:cs="Arial" w:eastAsia="Arial" w:hAnsi="Arial"/>
          <w:sz w:val="20"/>
          <w:szCs w:val="20"/>
        </w:rPr>
        <w:t xml:space="preserve">Open a RAID log and decision log with named owners; agree go/no-go criteria up front (use SC1 to SC6)</w:t>
      </w:r>
    </w:p>
    <w:p>
      <w:pPr>
        <w:spacing w:after="100"/>
      </w:pPr>
      <w:r>
        <w:rPr>
          <w:rFonts w:ascii="Arial" w:cs="Arial" w:eastAsia="Arial" w:hAnsi="Arial"/>
          <w:color w:val="555555"/>
          <w:sz w:val="18"/>
          <w:szCs w:val="18"/>
        </w:rPr>
        <w:t xml:space="preserve">Dependencies: D5, D7, D8   |   Success criteria: -   |   Lead role: MVP Lead / Service Owner</w:t>
      </w:r>
    </w:p>
    <w:p>
      <w:pPr>
        <w:spacing w:after="100"/>
      </w:pPr>
      <w:r>
        <w:rPr>
          <w:rFonts w:ascii="Arial" w:cs="Arial" w:eastAsia="Arial" w:hAnsi="Arial"/>
          <w:b/>
          <w:bCs/>
          <w:sz w:val="18"/>
          <w:szCs w:val="18"/>
        </w:rPr>
        <w:t xml:space="preserve">Exit gate: Decision log signed off; owners named; file profile confirmed</w:t>
      </w:r>
    </w:p>
    <w:p>
      <w:pPr>
        <w:pStyle w:val="Heading2"/>
        <w:spacing w:after="120" w:before="240"/>
      </w:pPr>
      <w:r>
        <w:rPr>
          <w:rFonts w:ascii="Arial" w:cs="Arial" w:eastAsia="Arial" w:hAnsi="Arial"/>
          <w:b/>
          <w:bCs/>
          <w:color w:val="1D2B3A"/>
          <w:sz w:val="24"/>
          <w:szCs w:val="24"/>
        </w:rPr>
        <w:t xml:space="preserve">P1 Environments and connectivity</w:t>
      </w:r>
    </w:p>
    <w:p>
      <w:pPr>
        <w:spacing w:after="100"/>
      </w:pPr>
      <w:r>
        <w:rPr>
          <w:rFonts w:ascii="Arial" w:cs="Arial" w:eastAsia="Arial" w:hAnsi="Arial"/>
          <w:i/>
          <w:iCs/>
          <w:sz w:val="20"/>
          <w:szCs w:val="20"/>
        </w:rPr>
        <w:t xml:space="preserve">Raise the long-lead infrastructure and network changes on day one.</w:t>
      </w:r>
    </w:p>
    <w:p>
      <w:pPr>
        <w:pStyle w:val="ListParagraph"/>
        <w:numPr>
          <w:ilvl w:val="0"/>
          <w:numId w:val="2"/>
        </w:numPr>
        <w:spacing w:after="60"/>
      </w:pPr>
      <w:r>
        <w:rPr>
          <w:rFonts w:ascii="Arial" w:cs="Arial" w:eastAsia="Arial" w:hAnsi="Arial"/>
          <w:sz w:val="20"/>
          <w:szCs w:val="20"/>
        </w:rPr>
        <w:t xml:space="preserve">Confirm Dev, Test, Pre-prod and Prod MFT tenants and MFT CI/CD portal access</w:t>
      </w:r>
    </w:p>
    <w:p>
      <w:pPr>
        <w:pStyle w:val="ListParagraph"/>
        <w:numPr>
          <w:ilvl w:val="0"/>
          <w:numId w:val="2"/>
        </w:numPr>
        <w:spacing w:after="60"/>
      </w:pPr>
      <w:r>
        <w:rPr>
          <w:rFonts w:ascii="Arial" w:cs="Arial" w:eastAsia="Arial" w:hAnsi="Arial"/>
          <w:sz w:val="20"/>
          <w:szCs w:val="20"/>
        </w:rPr>
        <w:t xml:space="preserve">Install and register organisation-hosted runtimes; confirm Windows Server hardening and Defender AV (D6)</w:t>
      </w:r>
    </w:p>
    <w:p>
      <w:pPr>
        <w:pStyle w:val="ListParagraph"/>
        <w:numPr>
          <w:ilvl w:val="0"/>
          <w:numId w:val="2"/>
        </w:numPr>
        <w:spacing w:after="60"/>
      </w:pPr>
      <w:r>
        <w:rPr>
          <w:rFonts w:ascii="Arial" w:cs="Arial" w:eastAsia="Arial" w:hAnsi="Arial"/>
          <w:sz w:val="20"/>
          <w:szCs w:val="20"/>
        </w:rPr>
        <w:t xml:space="preserve">Raise firewall and allow-list changes for NPS, ADR and ONS in every environment (inbound and outbound, protocol and port)</w:t>
      </w:r>
    </w:p>
    <w:p>
      <w:pPr>
        <w:pStyle w:val="ListParagraph"/>
        <w:numPr>
          <w:ilvl w:val="0"/>
          <w:numId w:val="2"/>
        </w:numPr>
        <w:spacing w:after="60"/>
      </w:pPr>
      <w:r>
        <w:rPr>
          <w:rFonts w:ascii="Arial" w:cs="Arial" w:eastAsia="Arial" w:hAnsi="Arial"/>
          <w:sz w:val="20"/>
          <w:szCs w:val="20"/>
        </w:rPr>
        <w:t xml:space="preserve">Agree with ONS the new sending endpoint, source IPs and a production-like lower environment</w:t>
      </w:r>
    </w:p>
    <w:p>
      <w:pPr>
        <w:pStyle w:val="ListParagraph"/>
        <w:numPr>
          <w:ilvl w:val="0"/>
          <w:numId w:val="2"/>
        </w:numPr>
        <w:spacing w:after="60"/>
      </w:pPr>
      <w:r>
        <w:rPr>
          <w:rFonts w:ascii="Arial" w:cs="Arial" w:eastAsia="Arial" w:hAnsi="Arial"/>
          <w:sz w:val="20"/>
          <w:szCs w:val="20"/>
        </w:rPr>
        <w:t xml:space="preserve">Run a connectivity smoke test per endpoint per environment (TCP, protocol handshake, auth) and record evidence</w:t>
      </w:r>
    </w:p>
    <w:p>
      <w:pPr>
        <w:spacing w:after="100"/>
      </w:pPr>
      <w:r>
        <w:rPr>
          <w:rFonts w:ascii="Arial" w:cs="Arial" w:eastAsia="Arial" w:hAnsi="Arial"/>
          <w:color w:val="555555"/>
          <w:sz w:val="18"/>
          <w:szCs w:val="18"/>
        </w:rPr>
        <w:t xml:space="preserve">Dependencies: D1, D2, D3, D4, D6   |   Success criteria: -   |   Lead role: Platform Engineer / Network</w:t>
      </w:r>
    </w:p>
    <w:p>
      <w:pPr>
        <w:spacing w:after="100"/>
      </w:pPr>
      <w:r>
        <w:rPr>
          <w:rFonts w:ascii="Arial" w:cs="Arial" w:eastAsia="Arial" w:hAnsi="Arial"/>
          <w:b/>
          <w:bCs/>
          <w:sz w:val="18"/>
          <w:szCs w:val="18"/>
        </w:rPr>
        <w:t xml:space="preserve">Exit gate: All endpoints reachable from runtime in lower environments with evidence</w:t>
      </w:r>
    </w:p>
    <w:p>
      <w:pPr>
        <w:pStyle w:val="Heading2"/>
        <w:spacing w:after="120" w:before="240"/>
      </w:pPr>
      <w:r>
        <w:rPr>
          <w:rFonts w:ascii="Arial" w:cs="Arial" w:eastAsia="Arial" w:hAnsi="Arial"/>
          <w:b/>
          <w:bCs/>
          <w:color w:val="1D2B3A"/>
          <w:sz w:val="24"/>
          <w:szCs w:val="24"/>
        </w:rPr>
        <w:t xml:space="preserve">P2 Security and credentials</w:t>
      </w:r>
    </w:p>
    <w:p>
      <w:pPr>
        <w:spacing w:after="100"/>
      </w:pPr>
      <w:r>
        <w:rPr>
          <w:rFonts w:ascii="Arial" w:cs="Arial" w:eastAsia="Arial" w:hAnsi="Arial"/>
          <w:i/>
          <w:iCs/>
          <w:sz w:val="20"/>
          <w:szCs w:val="20"/>
        </w:rPr>
        <w:t xml:space="preserve">Make the secure-transfer controls explicit rather than assumed.</w:t>
      </w:r>
    </w:p>
    <w:p>
      <w:pPr>
        <w:pStyle w:val="ListParagraph"/>
        <w:numPr>
          <w:ilvl w:val="0"/>
          <w:numId w:val="2"/>
        </w:numPr>
        <w:spacing w:after="60"/>
      </w:pPr>
      <w:r>
        <w:rPr>
          <w:rFonts w:ascii="Arial" w:cs="Arial" w:eastAsia="Arial" w:hAnsi="Arial"/>
          <w:sz w:val="20"/>
          <w:szCs w:val="20"/>
        </w:rPr>
        <w:t xml:space="preserve">Exchange SSH host keys / certificates and pin them; agree key rotation ownership</w:t>
      </w:r>
    </w:p>
    <w:p>
      <w:pPr>
        <w:pStyle w:val="ListParagraph"/>
        <w:numPr>
          <w:ilvl w:val="0"/>
          <w:numId w:val="2"/>
        </w:numPr>
        <w:spacing w:after="60"/>
      </w:pPr>
      <w:r>
        <w:rPr>
          <w:rFonts w:ascii="Arial" w:cs="Arial" w:eastAsia="Arial" w:hAnsi="Arial"/>
          <w:sz w:val="20"/>
          <w:szCs w:val="20"/>
        </w:rPr>
        <w:t xml:space="preserve">Decide credential storage: native MFT vault now, or documented route to enterprise PAM (tracked gap G-14)</w:t>
      </w:r>
    </w:p>
    <w:p>
      <w:pPr>
        <w:pStyle w:val="ListParagraph"/>
        <w:numPr>
          <w:ilvl w:val="0"/>
          <w:numId w:val="2"/>
        </w:numPr>
        <w:spacing w:after="60"/>
      </w:pPr>
      <w:r>
        <w:rPr>
          <w:rFonts w:ascii="Arial" w:cs="Arial" w:eastAsia="Arial" w:hAnsi="Arial"/>
          <w:sz w:val="20"/>
          <w:szCs w:val="20"/>
        </w:rPr>
        <w:t xml:space="preserve">Confirm AV scanning point and behaviour on scan failure (quarantine, alert, no onward delivery)</w:t>
      </w:r>
    </w:p>
    <w:p>
      <w:pPr>
        <w:pStyle w:val="ListParagraph"/>
        <w:numPr>
          <w:ilvl w:val="0"/>
          <w:numId w:val="2"/>
        </w:numPr>
        <w:spacing w:after="60"/>
      </w:pPr>
      <w:r>
        <w:rPr>
          <w:rFonts w:ascii="Arial" w:cs="Arial" w:eastAsia="Arial" w:hAnsi="Arial"/>
          <w:sz w:val="20"/>
          <w:szCs w:val="20"/>
        </w:rPr>
        <w:t xml:space="preserve">Check feed file size against AV scan ceiling (about 250 MB, gap G-15); design split or exception if exceeded</w:t>
      </w:r>
    </w:p>
    <w:p>
      <w:pPr>
        <w:pStyle w:val="ListParagraph"/>
        <w:numPr>
          <w:ilvl w:val="0"/>
          <w:numId w:val="2"/>
        </w:numPr>
        <w:spacing w:after="60"/>
      </w:pPr>
      <w:r>
        <w:rPr>
          <w:rFonts w:ascii="Arial" w:cs="Arial" w:eastAsia="Arial" w:hAnsi="Arial"/>
          <w:sz w:val="20"/>
          <w:szCs w:val="20"/>
        </w:rPr>
        <w:t xml:space="preserve">Obtain security sign-off of the transfer design for the confirmed classification</w:t>
      </w:r>
    </w:p>
    <w:p>
      <w:pPr>
        <w:spacing w:after="100"/>
      </w:pPr>
      <w:r>
        <w:rPr>
          <w:rFonts w:ascii="Arial" w:cs="Arial" w:eastAsia="Arial" w:hAnsi="Arial"/>
          <w:color w:val="555555"/>
          <w:sz w:val="18"/>
          <w:szCs w:val="18"/>
        </w:rPr>
        <w:t xml:space="preserve">Dependencies: D2, D3, D5, D6   |   Success criteria: SC5, SC6   |   Lead role: Security Architect</w:t>
      </w:r>
    </w:p>
    <w:p>
      <w:pPr>
        <w:spacing w:after="100"/>
      </w:pPr>
      <w:r>
        <w:rPr>
          <w:rFonts w:ascii="Arial" w:cs="Arial" w:eastAsia="Arial" w:hAnsi="Arial"/>
          <w:b/>
          <w:bCs/>
          <w:sz w:val="18"/>
          <w:szCs w:val="18"/>
        </w:rPr>
        <w:t xml:space="preserve">Exit gate: Security design approved; credentials and keys in place</w:t>
      </w:r>
    </w:p>
    <w:p>
      <w:pPr>
        <w:pStyle w:val="Heading2"/>
        <w:spacing w:after="120" w:before="240"/>
      </w:pPr>
      <w:r>
        <w:rPr>
          <w:rFonts w:ascii="Arial" w:cs="Arial" w:eastAsia="Arial" w:hAnsi="Arial"/>
          <w:b/>
          <w:bCs/>
          <w:color w:val="1D2B3A"/>
          <w:sz w:val="24"/>
          <w:szCs w:val="24"/>
        </w:rPr>
        <w:t xml:space="preserve">P3 Configure Leg A (NPS to ADR)</w:t>
      </w:r>
    </w:p>
    <w:p>
      <w:pPr>
        <w:spacing w:after="100"/>
      </w:pPr>
      <w:r>
        <w:rPr>
          <w:rFonts w:ascii="Arial" w:cs="Arial" w:eastAsia="Arial" w:hAnsi="Arial"/>
          <w:i/>
          <w:iCs/>
          <w:sz w:val="20"/>
          <w:szCs w:val="20"/>
        </w:rPr>
        <w:t xml:space="preserve">Configure, not construct: one transfer definition per leg driven by configuration.</w:t>
      </w:r>
    </w:p>
    <w:p>
      <w:pPr>
        <w:pStyle w:val="ListParagraph"/>
        <w:numPr>
          <w:ilvl w:val="0"/>
          <w:numId w:val="2"/>
        </w:numPr>
        <w:spacing w:after="60"/>
      </w:pPr>
      <w:r>
        <w:rPr>
          <w:rFonts w:ascii="Arial" w:cs="Arial" w:eastAsia="Arial" w:hAnsi="Arial"/>
          <w:sz w:val="20"/>
          <w:szCs w:val="20"/>
        </w:rPr>
        <w:t xml:space="preserve">Define source and target endpoints, file mask and naming rules</w:t>
      </w:r>
    </w:p>
    <w:p>
      <w:pPr>
        <w:pStyle w:val="ListParagraph"/>
        <w:numPr>
          <w:ilvl w:val="0"/>
          <w:numId w:val="2"/>
        </w:numPr>
        <w:spacing w:after="60"/>
      </w:pPr>
      <w:r>
        <w:rPr>
          <w:rFonts w:ascii="Arial" w:cs="Arial" w:eastAsia="Arial" w:hAnsi="Arial"/>
          <w:sz w:val="20"/>
          <w:szCs w:val="20"/>
        </w:rPr>
        <w:t xml:space="preserve">Set schedule and non-arrival window aligned to the quarterly feed</w:t>
      </w:r>
    </w:p>
    <w:p>
      <w:pPr>
        <w:pStyle w:val="ListParagraph"/>
        <w:numPr>
          <w:ilvl w:val="0"/>
          <w:numId w:val="2"/>
        </w:numPr>
        <w:spacing w:after="60"/>
      </w:pPr>
      <w:r>
        <w:rPr>
          <w:rFonts w:ascii="Arial" w:cs="Arial" w:eastAsia="Arial" w:hAnsi="Arial"/>
          <w:sz w:val="20"/>
          <w:szCs w:val="20"/>
        </w:rPr>
        <w:t xml:space="preserve">Configure AV scan, archive, quarantine, retry and checksum validation</w:t>
      </w:r>
    </w:p>
    <w:p>
      <w:pPr>
        <w:pStyle w:val="ListParagraph"/>
        <w:numPr>
          <w:ilvl w:val="0"/>
          <w:numId w:val="2"/>
        </w:numPr>
        <w:spacing w:after="60"/>
      </w:pPr>
      <w:r>
        <w:rPr>
          <w:rFonts w:ascii="Arial" w:cs="Arial" w:eastAsia="Arial" w:hAnsi="Arial"/>
          <w:sz w:val="20"/>
          <w:szCs w:val="20"/>
        </w:rPr>
        <w:t xml:space="preserve">Configure alerts for non-arrival, transfer failure and scan failure to a named team</w:t>
      </w:r>
    </w:p>
    <w:p>
      <w:pPr>
        <w:pStyle w:val="ListParagraph"/>
        <w:numPr>
          <w:ilvl w:val="0"/>
          <w:numId w:val="2"/>
        </w:numPr>
        <w:spacing w:after="60"/>
      </w:pPr>
      <w:r>
        <w:rPr>
          <w:rFonts w:ascii="Arial" w:cs="Arial" w:eastAsia="Arial" w:hAnsi="Arial"/>
          <w:sz w:val="20"/>
          <w:szCs w:val="20"/>
        </w:rPr>
        <w:t xml:space="preserve">Parameterise environment-specific values so promotion changes config, not design</w:t>
      </w:r>
    </w:p>
    <w:p>
      <w:pPr>
        <w:spacing w:after="100"/>
      </w:pPr>
      <w:r>
        <w:rPr>
          <w:rFonts w:ascii="Arial" w:cs="Arial" w:eastAsia="Arial" w:hAnsi="Arial"/>
          <w:color w:val="555555"/>
          <w:sz w:val="18"/>
          <w:szCs w:val="18"/>
        </w:rPr>
        <w:t xml:space="preserve">Dependencies: D1, D3, D5   |   Success criteria: SC1, SC4, SC5, SC6   |   Lead role: Boomi MFT Engineer</w:t>
      </w:r>
    </w:p>
    <w:p>
      <w:pPr>
        <w:spacing w:after="100"/>
      </w:pPr>
      <w:r>
        <w:rPr>
          <w:rFonts w:ascii="Arial" w:cs="Arial" w:eastAsia="Arial" w:hAnsi="Arial"/>
          <w:b/>
          <w:bCs/>
          <w:sz w:val="18"/>
          <w:szCs w:val="18"/>
        </w:rPr>
        <w:t xml:space="preserve">Exit gate: Leg A runs in Dev with a synthetic file</w:t>
      </w:r>
    </w:p>
    <w:p>
      <w:pPr>
        <w:pStyle w:val="Heading2"/>
        <w:spacing w:after="120" w:before="240"/>
      </w:pPr>
      <w:r>
        <w:rPr>
          <w:rFonts w:ascii="Arial" w:cs="Arial" w:eastAsia="Arial" w:hAnsi="Arial"/>
          <w:b/>
          <w:bCs/>
          <w:color w:val="1D2B3A"/>
          <w:sz w:val="24"/>
          <w:szCs w:val="24"/>
        </w:rPr>
        <w:t xml:space="preserve">P4 Configure Leg B (ADR to ONS)</w:t>
      </w:r>
    </w:p>
    <w:p>
      <w:pPr>
        <w:spacing w:after="100"/>
      </w:pPr>
      <w:r>
        <w:rPr>
          <w:rFonts w:ascii="Arial" w:cs="Arial" w:eastAsia="Arial" w:hAnsi="Arial"/>
          <w:i/>
          <w:iCs/>
          <w:sz w:val="20"/>
          <w:szCs w:val="20"/>
        </w:rPr>
        <w:t xml:space="preserve">Replace the IF and SDES hop with a direct, audited external delivery.</w:t>
      </w:r>
    </w:p>
    <w:p>
      <w:pPr>
        <w:pStyle w:val="ListParagraph"/>
        <w:numPr>
          <w:ilvl w:val="0"/>
          <w:numId w:val="2"/>
        </w:numPr>
        <w:spacing w:after="60"/>
      </w:pPr>
      <w:r>
        <w:rPr>
          <w:rFonts w:ascii="Arial" w:cs="Arial" w:eastAsia="Arial" w:hAnsi="Arial"/>
          <w:sz w:val="20"/>
          <w:szCs w:val="20"/>
        </w:rPr>
        <w:t xml:space="preserve">Define ADR output source and ONS external target with pinned host key / certificate</w:t>
      </w:r>
    </w:p>
    <w:p>
      <w:pPr>
        <w:pStyle w:val="ListParagraph"/>
        <w:numPr>
          <w:ilvl w:val="0"/>
          <w:numId w:val="2"/>
        </w:numPr>
        <w:spacing w:after="60"/>
      </w:pPr>
      <w:r>
        <w:rPr>
          <w:rFonts w:ascii="Arial" w:cs="Arial" w:eastAsia="Arial" w:hAnsi="Arial"/>
          <w:sz w:val="20"/>
          <w:szCs w:val="20"/>
        </w:rPr>
        <w:t xml:space="preserve">Set trigger (schedule or event after Leg A processing chain completes)</w:t>
      </w:r>
    </w:p>
    <w:p>
      <w:pPr>
        <w:pStyle w:val="ListParagraph"/>
        <w:numPr>
          <w:ilvl w:val="0"/>
          <w:numId w:val="2"/>
        </w:numPr>
        <w:spacing w:after="60"/>
      </w:pPr>
      <w:r>
        <w:rPr>
          <w:rFonts w:ascii="Arial" w:cs="Arial" w:eastAsia="Arial" w:hAnsi="Arial"/>
          <w:sz w:val="20"/>
          <w:szCs w:val="20"/>
        </w:rPr>
        <w:t xml:space="preserve">Configure AV scan, archive, quarantine, retry and checksum validation</w:t>
      </w:r>
    </w:p>
    <w:p>
      <w:pPr>
        <w:pStyle w:val="ListParagraph"/>
        <w:numPr>
          <w:ilvl w:val="0"/>
          <w:numId w:val="2"/>
        </w:numPr>
        <w:spacing w:after="60"/>
      </w:pPr>
      <w:r>
        <w:rPr>
          <w:rFonts w:ascii="Arial" w:cs="Arial" w:eastAsia="Arial" w:hAnsi="Arial"/>
          <w:sz w:val="20"/>
          <w:szCs w:val="20"/>
        </w:rPr>
        <w:t xml:space="preserve">Agree and configure the ONS receipt acknowledgement method</w:t>
      </w:r>
    </w:p>
    <w:p>
      <w:pPr>
        <w:pStyle w:val="ListParagraph"/>
        <w:numPr>
          <w:ilvl w:val="0"/>
          <w:numId w:val="2"/>
        </w:numPr>
        <w:spacing w:after="60"/>
      </w:pPr>
      <w:r>
        <w:rPr>
          <w:rFonts w:ascii="Arial" w:cs="Arial" w:eastAsia="Arial" w:hAnsi="Arial"/>
          <w:sz w:val="20"/>
          <w:szCs w:val="20"/>
        </w:rPr>
        <w:t xml:space="preserve">Configure alerts and audit record fields as per SC6</w:t>
      </w:r>
    </w:p>
    <w:p>
      <w:pPr>
        <w:spacing w:after="100"/>
      </w:pPr>
      <w:r>
        <w:rPr>
          <w:rFonts w:ascii="Arial" w:cs="Arial" w:eastAsia="Arial" w:hAnsi="Arial"/>
          <w:color w:val="555555"/>
          <w:sz w:val="18"/>
          <w:szCs w:val="18"/>
        </w:rPr>
        <w:t xml:space="preserve">Dependencies: D3, D4, D5   |   Success criteria: SC2, SC4, SC5, SC6   |   Lead role: Boomi MFT Engineer</w:t>
      </w:r>
    </w:p>
    <w:p>
      <w:pPr>
        <w:spacing w:after="100"/>
      </w:pPr>
      <w:r>
        <w:rPr>
          <w:rFonts w:ascii="Arial" w:cs="Arial" w:eastAsia="Arial" w:hAnsi="Arial"/>
          <w:b/>
          <w:bCs/>
          <w:sz w:val="18"/>
          <w:szCs w:val="18"/>
        </w:rPr>
        <w:t xml:space="preserve">Exit gate: Leg B delivers to ONS lower environment with acknowledgement</w:t>
      </w:r>
    </w:p>
    <w:p>
      <w:pPr>
        <w:pStyle w:val="Heading2"/>
        <w:spacing w:after="120" w:before="240"/>
      </w:pPr>
      <w:r>
        <w:rPr>
          <w:rFonts w:ascii="Arial" w:cs="Arial" w:eastAsia="Arial" w:hAnsi="Arial"/>
          <w:b/>
          <w:bCs/>
          <w:color w:val="1D2B3A"/>
          <w:sz w:val="24"/>
          <w:szCs w:val="24"/>
        </w:rPr>
        <w:t xml:space="preserve">P5 CI/CD promotion</w:t>
      </w:r>
    </w:p>
    <w:p>
      <w:pPr>
        <w:spacing w:after="100"/>
      </w:pPr>
      <w:r>
        <w:rPr>
          <w:rFonts w:ascii="Arial" w:cs="Arial" w:eastAsia="Arial" w:hAnsi="Arial"/>
          <w:i/>
          <w:iCs/>
          <w:sz w:val="20"/>
          <w:szCs w:val="20"/>
        </w:rPr>
        <w:t xml:space="preserve">Prove repeatable, approval-controlled promotion across environments.</w:t>
      </w:r>
    </w:p>
    <w:p>
      <w:pPr>
        <w:pStyle w:val="ListParagraph"/>
        <w:numPr>
          <w:ilvl w:val="0"/>
          <w:numId w:val="2"/>
        </w:numPr>
        <w:spacing w:after="60"/>
      </w:pPr>
      <w:r>
        <w:rPr>
          <w:rFonts w:ascii="Arial" w:cs="Arial" w:eastAsia="Arial" w:hAnsi="Arial"/>
          <w:sz w:val="20"/>
          <w:szCs w:val="20"/>
        </w:rPr>
        <w:t xml:space="preserve">Package both leg configurations in the MFT CI/CD portal</w:t>
      </w:r>
    </w:p>
    <w:p>
      <w:pPr>
        <w:pStyle w:val="ListParagraph"/>
        <w:numPr>
          <w:ilvl w:val="0"/>
          <w:numId w:val="2"/>
        </w:numPr>
        <w:spacing w:after="60"/>
      </w:pPr>
      <w:r>
        <w:rPr>
          <w:rFonts w:ascii="Arial" w:cs="Arial" w:eastAsia="Arial" w:hAnsi="Arial"/>
          <w:sz w:val="20"/>
          <w:szCs w:val="20"/>
        </w:rPr>
        <w:t xml:space="preserve">Define approval roles (requester, approver) and segregation of duties</w:t>
      </w:r>
    </w:p>
    <w:p>
      <w:pPr>
        <w:pStyle w:val="ListParagraph"/>
        <w:numPr>
          <w:ilvl w:val="0"/>
          <w:numId w:val="2"/>
        </w:numPr>
        <w:spacing w:after="60"/>
      </w:pPr>
      <w:r>
        <w:rPr>
          <w:rFonts w:ascii="Arial" w:cs="Arial" w:eastAsia="Arial" w:hAnsi="Arial"/>
          <w:sz w:val="20"/>
          <w:szCs w:val="20"/>
        </w:rPr>
        <w:t xml:space="preserve">Promote Dev to Test to Pre-prod with environment overrides only</w:t>
      </w:r>
    </w:p>
    <w:p>
      <w:pPr>
        <w:pStyle w:val="ListParagraph"/>
        <w:numPr>
          <w:ilvl w:val="0"/>
          <w:numId w:val="2"/>
        </w:numPr>
        <w:spacing w:after="60"/>
      </w:pPr>
      <w:r>
        <w:rPr>
          <w:rFonts w:ascii="Arial" w:cs="Arial" w:eastAsia="Arial" w:hAnsi="Arial"/>
          <w:sz w:val="20"/>
          <w:szCs w:val="20"/>
        </w:rPr>
        <w:t xml:space="preserve">Test and document rollback: config rows are data, so rollback is a re-promotion of the prior version (gap G-13)</w:t>
      </w:r>
    </w:p>
    <w:p>
      <w:pPr>
        <w:pStyle w:val="ListParagraph"/>
        <w:numPr>
          <w:ilvl w:val="0"/>
          <w:numId w:val="2"/>
        </w:numPr>
        <w:spacing w:after="60"/>
      </w:pPr>
      <w:r>
        <w:rPr>
          <w:rFonts w:ascii="Arial" w:cs="Arial" w:eastAsia="Arial" w:hAnsi="Arial"/>
          <w:sz w:val="20"/>
          <w:szCs w:val="20"/>
        </w:rPr>
        <w:t xml:space="preserve">Capture promotion audit evidence for each step</w:t>
      </w:r>
    </w:p>
    <w:p>
      <w:pPr>
        <w:spacing w:after="100"/>
      </w:pPr>
      <w:r>
        <w:rPr>
          <w:rFonts w:ascii="Arial" w:cs="Arial" w:eastAsia="Arial" w:hAnsi="Arial"/>
          <w:color w:val="555555"/>
          <w:sz w:val="18"/>
          <w:szCs w:val="18"/>
        </w:rPr>
        <w:t xml:space="preserve">Dependencies: D1   |   Success criteria: SC3   |   Lead role: Platform Engineer</w:t>
      </w:r>
    </w:p>
    <w:p>
      <w:pPr>
        <w:spacing w:after="100"/>
      </w:pPr>
      <w:r>
        <w:rPr>
          <w:rFonts w:ascii="Arial" w:cs="Arial" w:eastAsia="Arial" w:hAnsi="Arial"/>
          <w:b/>
          <w:bCs/>
          <w:sz w:val="18"/>
          <w:szCs w:val="18"/>
        </w:rPr>
        <w:t xml:space="preserve">Exit gate: Both legs promoted to Pre-prod via approved pipeline with audit trail</w:t>
      </w:r>
    </w:p>
    <w:p>
      <w:pPr>
        <w:pStyle w:val="Heading2"/>
        <w:spacing w:after="120" w:before="240"/>
      </w:pPr>
      <w:r>
        <w:rPr>
          <w:rFonts w:ascii="Arial" w:cs="Arial" w:eastAsia="Arial" w:hAnsi="Arial"/>
          <w:b/>
          <w:bCs/>
          <w:color w:val="1D2B3A"/>
          <w:sz w:val="24"/>
          <w:szCs w:val="24"/>
        </w:rPr>
        <w:t xml:space="preserve">P6 Observability and audit</w:t>
      </w:r>
    </w:p>
    <w:p>
      <w:pPr>
        <w:spacing w:after="100"/>
      </w:pPr>
      <w:r>
        <w:rPr>
          <w:rFonts w:ascii="Arial" w:cs="Arial" w:eastAsia="Arial" w:hAnsi="Arial"/>
          <w:i/>
          <w:iCs/>
          <w:sz w:val="20"/>
          <w:szCs w:val="20"/>
        </w:rPr>
        <w:t xml:space="preserve">Treat visibility as a feature from the first run.</w:t>
      </w:r>
    </w:p>
    <w:p>
      <w:pPr>
        <w:pStyle w:val="ListParagraph"/>
        <w:numPr>
          <w:ilvl w:val="0"/>
          <w:numId w:val="2"/>
        </w:numPr>
        <w:spacing w:after="60"/>
      </w:pPr>
      <w:r>
        <w:rPr>
          <w:rFonts w:ascii="Arial" w:cs="Arial" w:eastAsia="Arial" w:hAnsi="Arial"/>
          <w:sz w:val="20"/>
          <w:szCs w:val="20"/>
        </w:rPr>
        <w:t xml:space="preserve">Confirm transfer history view covers both legs end to end</w:t>
      </w:r>
    </w:p>
    <w:p>
      <w:pPr>
        <w:pStyle w:val="ListParagraph"/>
        <w:numPr>
          <w:ilvl w:val="0"/>
          <w:numId w:val="2"/>
        </w:numPr>
        <w:spacing w:after="60"/>
      </w:pPr>
      <w:r>
        <w:rPr>
          <w:rFonts w:ascii="Arial" w:cs="Arial" w:eastAsia="Arial" w:hAnsi="Arial"/>
          <w:sz w:val="20"/>
          <w:szCs w:val="20"/>
        </w:rPr>
        <w:t xml:space="preserve">Verify audit record fields: source, destination, file size, checksum, timestamps, outcome</w:t>
      </w:r>
    </w:p>
    <w:p>
      <w:pPr>
        <w:pStyle w:val="ListParagraph"/>
        <w:numPr>
          <w:ilvl w:val="0"/>
          <w:numId w:val="2"/>
        </w:numPr>
        <w:spacing w:after="60"/>
      </w:pPr>
      <w:r>
        <w:rPr>
          <w:rFonts w:ascii="Arial" w:cs="Arial" w:eastAsia="Arial" w:hAnsi="Arial"/>
          <w:sz w:val="20"/>
          <w:szCs w:val="20"/>
        </w:rPr>
        <w:t xml:space="preserve">Route alerts to the named team; ServiceNow or Dynatrace only if essential for readiness</w:t>
      </w:r>
    </w:p>
    <w:p>
      <w:pPr>
        <w:pStyle w:val="ListParagraph"/>
        <w:numPr>
          <w:ilvl w:val="0"/>
          <w:numId w:val="2"/>
        </w:numPr>
        <w:spacing w:after="60"/>
      </w:pPr>
      <w:r>
        <w:rPr>
          <w:rFonts w:ascii="Arial" w:cs="Arial" w:eastAsia="Arial" w:hAnsi="Arial"/>
          <w:sz w:val="20"/>
          <w:szCs w:val="20"/>
        </w:rPr>
        <w:t xml:space="preserve">Define simple service KPIs: on-time delivery, failures, mean time to recover</w:t>
      </w:r>
    </w:p>
    <w:p>
      <w:pPr>
        <w:spacing w:after="100"/>
      </w:pPr>
      <w:r>
        <w:rPr>
          <w:rFonts w:ascii="Arial" w:cs="Arial" w:eastAsia="Arial" w:hAnsi="Arial"/>
          <w:color w:val="555555"/>
          <w:sz w:val="18"/>
          <w:szCs w:val="18"/>
        </w:rPr>
        <w:t xml:space="preserve">Dependencies: D8   |   Success criteria: SC4, SC5, SC6   |   Lead role: Operations Lead</w:t>
      </w:r>
    </w:p>
    <w:p>
      <w:pPr>
        <w:spacing w:after="100"/>
      </w:pPr>
      <w:r>
        <w:rPr>
          <w:rFonts w:ascii="Arial" w:cs="Arial" w:eastAsia="Arial" w:hAnsi="Arial"/>
          <w:b/>
          <w:bCs/>
          <w:sz w:val="18"/>
          <w:szCs w:val="18"/>
        </w:rPr>
        <w:t xml:space="preserve">Exit gate: Dashboards and alerts demonstrated to operations</w:t>
      </w:r>
    </w:p>
    <w:p>
      <w:pPr>
        <w:pStyle w:val="Heading2"/>
        <w:spacing w:after="120" w:before="240"/>
      </w:pPr>
      <w:r>
        <w:rPr>
          <w:rFonts w:ascii="Arial" w:cs="Arial" w:eastAsia="Arial" w:hAnsi="Arial"/>
          <w:b/>
          <w:bCs/>
          <w:color w:val="1D2B3A"/>
          <w:sz w:val="24"/>
          <w:szCs w:val="24"/>
        </w:rPr>
        <w:t xml:space="preserve">P7 Test</w:t>
      </w:r>
    </w:p>
    <w:p>
      <w:pPr>
        <w:spacing w:after="100"/>
      </w:pPr>
      <w:r>
        <w:rPr>
          <w:rFonts w:ascii="Arial" w:cs="Arial" w:eastAsia="Arial" w:hAnsi="Arial"/>
          <w:i/>
          <w:iCs/>
          <w:sz w:val="20"/>
          <w:szCs w:val="20"/>
        </w:rPr>
        <w:t xml:space="preserve">Evidence positive and negative paths in a production-like environment.</w:t>
      </w:r>
    </w:p>
    <w:p>
      <w:pPr>
        <w:pStyle w:val="ListParagraph"/>
        <w:numPr>
          <w:ilvl w:val="0"/>
          <w:numId w:val="2"/>
        </w:numPr>
        <w:spacing w:after="60"/>
      </w:pPr>
      <w:r>
        <w:rPr>
          <w:rFonts w:ascii="Arial" w:cs="Arial" w:eastAsia="Arial" w:hAnsi="Arial"/>
          <w:sz w:val="20"/>
          <w:szCs w:val="20"/>
        </w:rPr>
        <w:t xml:space="preserve">Positive: Leg A and Leg B end to end with representative file sizes</w:t>
      </w:r>
    </w:p>
    <w:p>
      <w:pPr>
        <w:pStyle w:val="ListParagraph"/>
        <w:numPr>
          <w:ilvl w:val="0"/>
          <w:numId w:val="2"/>
        </w:numPr>
        <w:spacing w:after="60"/>
      </w:pPr>
      <w:r>
        <w:rPr>
          <w:rFonts w:ascii="Arial" w:cs="Arial" w:eastAsia="Arial" w:hAnsi="Arial"/>
          <w:sz w:val="20"/>
          <w:szCs w:val="20"/>
        </w:rPr>
        <w:t xml:space="preserve">Negative: non-arrival, target unavailable, credential failure, AV scan failure, checksum mismatch, duplicate file</w:t>
      </w:r>
    </w:p>
    <w:p>
      <w:pPr>
        <w:pStyle w:val="ListParagraph"/>
        <w:numPr>
          <w:ilvl w:val="0"/>
          <w:numId w:val="2"/>
        </w:numPr>
        <w:spacing w:after="60"/>
      </w:pPr>
      <w:r>
        <w:rPr>
          <w:rFonts w:ascii="Arial" w:cs="Arial" w:eastAsia="Arial" w:hAnsi="Arial"/>
          <w:sz w:val="20"/>
          <w:szCs w:val="20"/>
        </w:rPr>
        <w:t xml:space="preserve">Recovery: retry, re-run from archive, release from quarantine</w:t>
      </w:r>
    </w:p>
    <w:p>
      <w:pPr>
        <w:pStyle w:val="ListParagraph"/>
        <w:numPr>
          <w:ilvl w:val="0"/>
          <w:numId w:val="2"/>
        </w:numPr>
        <w:spacing w:after="60"/>
      </w:pPr>
      <w:r>
        <w:rPr>
          <w:rFonts w:ascii="Arial" w:cs="Arial" w:eastAsia="Arial" w:hAnsi="Arial"/>
          <w:sz w:val="20"/>
          <w:szCs w:val="20"/>
        </w:rPr>
        <w:t xml:space="preserve">Promotion and rollback test via CI/CD portal</w:t>
      </w:r>
    </w:p>
    <w:p>
      <w:pPr>
        <w:pStyle w:val="ListParagraph"/>
        <w:numPr>
          <w:ilvl w:val="0"/>
          <w:numId w:val="2"/>
        </w:numPr>
        <w:spacing w:after="60"/>
      </w:pPr>
      <w:r>
        <w:rPr>
          <w:rFonts w:ascii="Arial" w:cs="Arial" w:eastAsia="Arial" w:hAnsi="Arial"/>
          <w:sz w:val="20"/>
          <w:szCs w:val="20"/>
        </w:rPr>
        <w:t xml:space="preserve">Collate a test evidence pack mapped to SC1 to SC6</w:t>
      </w:r>
    </w:p>
    <w:p>
      <w:pPr>
        <w:spacing w:after="100"/>
      </w:pPr>
      <w:r>
        <w:rPr>
          <w:rFonts w:ascii="Arial" w:cs="Arial" w:eastAsia="Arial" w:hAnsi="Arial"/>
          <w:color w:val="555555"/>
          <w:sz w:val="18"/>
          <w:szCs w:val="18"/>
        </w:rPr>
        <w:t xml:space="preserve">Dependencies: D4, D5   |   Success criteria: SC1, SC2, SC3, SC4, SC5, SC6   |   Lead role: Test Lead</w:t>
      </w:r>
    </w:p>
    <w:p>
      <w:pPr>
        <w:spacing w:after="100"/>
      </w:pPr>
      <w:r>
        <w:rPr>
          <w:rFonts w:ascii="Arial" w:cs="Arial" w:eastAsia="Arial" w:hAnsi="Arial"/>
          <w:b/>
          <w:bCs/>
          <w:sz w:val="18"/>
          <w:szCs w:val="18"/>
        </w:rPr>
        <w:t xml:space="preserve">Exit gate: Evidence pack reviewed; defects closed or accepted</w:t>
      </w:r>
    </w:p>
    <w:p>
      <w:pPr>
        <w:pStyle w:val="Heading2"/>
        <w:spacing w:after="120" w:before="240"/>
      </w:pPr>
      <w:r>
        <w:rPr>
          <w:rFonts w:ascii="Arial" w:cs="Arial" w:eastAsia="Arial" w:hAnsi="Arial"/>
          <w:b/>
          <w:bCs/>
          <w:color w:val="1D2B3A"/>
          <w:sz w:val="24"/>
          <w:szCs w:val="24"/>
        </w:rPr>
        <w:t xml:space="preserve">P8 Prove in production and hand over</w:t>
      </w:r>
    </w:p>
    <w:p>
      <w:pPr>
        <w:spacing w:after="100"/>
      </w:pPr>
      <w:r>
        <w:rPr>
          <w:rFonts w:ascii="Arial" w:cs="Arial" w:eastAsia="Arial" w:hAnsi="Arial"/>
          <w:i/>
          <w:iCs/>
          <w:sz w:val="20"/>
          <w:szCs w:val="20"/>
        </w:rPr>
        <w:t xml:space="preserve">Run the live feed and transfer ownership to the service.</w:t>
      </w:r>
    </w:p>
    <w:p>
      <w:pPr>
        <w:pStyle w:val="ListParagraph"/>
        <w:numPr>
          <w:ilvl w:val="0"/>
          <w:numId w:val="2"/>
        </w:numPr>
        <w:spacing w:after="60"/>
      </w:pPr>
      <w:r>
        <w:rPr>
          <w:rFonts w:ascii="Arial" w:cs="Arial" w:eastAsia="Arial" w:hAnsi="Arial"/>
          <w:sz w:val="20"/>
          <w:szCs w:val="20"/>
        </w:rPr>
        <w:t xml:space="preserve">Promote to Prod through CI/CD with change approval</w:t>
      </w:r>
    </w:p>
    <w:p>
      <w:pPr>
        <w:pStyle w:val="ListParagraph"/>
        <w:numPr>
          <w:ilvl w:val="0"/>
          <w:numId w:val="2"/>
        </w:numPr>
        <w:spacing w:after="60"/>
      </w:pPr>
      <w:r>
        <w:rPr>
          <w:rFonts w:ascii="Arial" w:cs="Arial" w:eastAsia="Arial" w:hAnsi="Arial"/>
          <w:sz w:val="20"/>
          <w:szCs w:val="20"/>
        </w:rPr>
        <w:t xml:space="preserve">Run the live quarterly transfer with hypercare and parallel check against the legacy route</w:t>
      </w:r>
    </w:p>
    <w:p>
      <w:pPr>
        <w:pStyle w:val="ListParagraph"/>
        <w:numPr>
          <w:ilvl w:val="0"/>
          <w:numId w:val="2"/>
        </w:numPr>
        <w:spacing w:after="60"/>
      </w:pPr>
      <w:r>
        <w:rPr>
          <w:rFonts w:ascii="Arial" w:cs="Arial" w:eastAsia="Arial" w:hAnsi="Arial"/>
          <w:sz w:val="20"/>
          <w:szCs w:val="20"/>
        </w:rPr>
        <w:t xml:space="preserve">Decommission or disable the UTM and IF/SDES route once delivery is confirmed</w:t>
      </w:r>
    </w:p>
    <w:p>
      <w:pPr>
        <w:pStyle w:val="ListParagraph"/>
        <w:numPr>
          <w:ilvl w:val="0"/>
          <w:numId w:val="2"/>
        </w:numPr>
        <w:spacing w:after="60"/>
      </w:pPr>
      <w:r>
        <w:rPr>
          <w:rFonts w:ascii="Arial" w:cs="Arial" w:eastAsia="Arial" w:hAnsi="Arial"/>
          <w:sz w:val="20"/>
          <w:szCs w:val="20"/>
        </w:rPr>
        <w:t xml:space="preserve">Hand over runbook, alert routing, support model and Boomi 24x7 escalation; run a support drill</w:t>
      </w:r>
    </w:p>
    <w:p>
      <w:pPr>
        <w:pStyle w:val="ListParagraph"/>
        <w:numPr>
          <w:ilvl w:val="0"/>
          <w:numId w:val="2"/>
        </w:numPr>
        <w:spacing w:after="60"/>
      </w:pPr>
      <w:r>
        <w:rPr>
          <w:rFonts w:ascii="Arial" w:cs="Arial" w:eastAsia="Arial" w:hAnsi="Arial"/>
          <w:sz w:val="20"/>
          <w:szCs w:val="20"/>
        </w:rPr>
        <w:t xml:space="preserve">Obtain service acceptance from operations</w:t>
      </w:r>
    </w:p>
    <w:p>
      <w:pPr>
        <w:spacing w:after="100"/>
      </w:pPr>
      <w:r>
        <w:rPr>
          <w:rFonts w:ascii="Arial" w:cs="Arial" w:eastAsia="Arial" w:hAnsi="Arial"/>
          <w:color w:val="555555"/>
          <w:sz w:val="18"/>
          <w:szCs w:val="18"/>
        </w:rPr>
        <w:t xml:space="preserve">Dependencies: D8   |   Success criteria: SC1, SC2, SC4, SC5, SC6   |   Lead role: Service Owner</w:t>
      </w:r>
    </w:p>
    <w:p>
      <w:pPr>
        <w:spacing w:after="100"/>
      </w:pPr>
      <w:r>
        <w:rPr>
          <w:rFonts w:ascii="Arial" w:cs="Arial" w:eastAsia="Arial" w:hAnsi="Arial"/>
          <w:b/>
          <w:bCs/>
          <w:sz w:val="18"/>
          <w:szCs w:val="18"/>
        </w:rPr>
        <w:t xml:space="preserve">Exit gate: Live feed delivered; service accepted by operations</w:t>
      </w:r>
    </w:p>
    <w:p>
      <w:pPr>
        <w:pStyle w:val="Heading2"/>
        <w:spacing w:after="120" w:before="240"/>
      </w:pPr>
      <w:r>
        <w:rPr>
          <w:rFonts w:ascii="Arial" w:cs="Arial" w:eastAsia="Arial" w:hAnsi="Arial"/>
          <w:b/>
          <w:bCs/>
          <w:color w:val="1D2B3A"/>
          <w:sz w:val="24"/>
          <w:szCs w:val="24"/>
        </w:rPr>
        <w:t xml:space="preserve">P9 Go/no-go and scale recommendation</w:t>
      </w:r>
    </w:p>
    <w:p>
      <w:pPr>
        <w:spacing w:after="100"/>
      </w:pPr>
      <w:r>
        <w:rPr>
          <w:rFonts w:ascii="Arial" w:cs="Arial" w:eastAsia="Arial" w:hAnsi="Arial"/>
          <w:i/>
          <w:iCs/>
          <w:sz w:val="20"/>
          <w:szCs w:val="20"/>
        </w:rPr>
        <w:t xml:space="preserve">Close the MVP with a documented decision on wider adoption.</w:t>
      </w:r>
    </w:p>
    <w:p>
      <w:pPr>
        <w:pStyle w:val="ListParagraph"/>
        <w:numPr>
          <w:ilvl w:val="0"/>
          <w:numId w:val="2"/>
        </w:numPr>
        <w:spacing w:after="60"/>
      </w:pPr>
      <w:r>
        <w:rPr>
          <w:rFonts w:ascii="Arial" w:cs="Arial" w:eastAsia="Arial" w:hAnsi="Arial"/>
          <w:sz w:val="20"/>
          <w:szCs w:val="20"/>
        </w:rPr>
        <w:t xml:space="preserve">Score each success criterion with evidence</w:t>
      </w:r>
    </w:p>
    <w:p>
      <w:pPr>
        <w:pStyle w:val="ListParagraph"/>
        <w:numPr>
          <w:ilvl w:val="0"/>
          <w:numId w:val="2"/>
        </w:numPr>
        <w:spacing w:after="60"/>
      </w:pPr>
      <w:r>
        <w:rPr>
          <w:rFonts w:ascii="Arial" w:cs="Arial" w:eastAsia="Arial" w:hAnsi="Arial"/>
          <w:sz w:val="20"/>
          <w:szCs w:val="20"/>
        </w:rPr>
        <w:t xml:space="preserve">Record lessons learned, open gaps (G-13, G-14, G-15) and platform constraints</w:t>
      </w:r>
    </w:p>
    <w:p>
      <w:pPr>
        <w:pStyle w:val="ListParagraph"/>
        <w:numPr>
          <w:ilvl w:val="0"/>
          <w:numId w:val="2"/>
        </w:numPr>
        <w:spacing w:after="60"/>
      </w:pPr>
      <w:r>
        <w:rPr>
          <w:rFonts w:ascii="Arial" w:cs="Arial" w:eastAsia="Arial" w:hAnsi="Arial"/>
          <w:sz w:val="20"/>
          <w:szCs w:val="20"/>
        </w:rPr>
        <w:t xml:space="preserve">Define the onboarding pattern and template for the next feeds</w:t>
      </w:r>
    </w:p>
    <w:p>
      <w:pPr>
        <w:pStyle w:val="ListParagraph"/>
        <w:numPr>
          <w:ilvl w:val="0"/>
          <w:numId w:val="2"/>
        </w:numPr>
        <w:spacing w:after="60"/>
      </w:pPr>
      <w:r>
        <w:rPr>
          <w:rFonts w:ascii="Arial" w:cs="Arial" w:eastAsia="Arial" w:hAnsi="Arial"/>
          <w:sz w:val="20"/>
          <w:szCs w:val="20"/>
        </w:rPr>
        <w:t xml:space="preserve">Issue go/no-go and wider adoption recommendation to the executive sponsor</w:t>
      </w:r>
    </w:p>
    <w:p>
      <w:pPr>
        <w:spacing w:after="100"/>
      </w:pPr>
      <w:r>
        <w:rPr>
          <w:rFonts w:ascii="Arial" w:cs="Arial" w:eastAsia="Arial" w:hAnsi="Arial"/>
          <w:color w:val="555555"/>
          <w:sz w:val="18"/>
          <w:szCs w:val="18"/>
        </w:rPr>
        <w:t xml:space="preserve">Dependencies: -   |   Success criteria: SC1, SC2, SC3, SC4, SC5, SC6   |   Lead role: MVP Lead</w:t>
      </w:r>
    </w:p>
    <w:p>
      <w:pPr>
        <w:spacing w:after="100"/>
      </w:pPr>
      <w:r>
        <w:rPr>
          <w:rFonts w:ascii="Arial" w:cs="Arial" w:eastAsia="Arial" w:hAnsi="Arial"/>
          <w:b/>
          <w:bCs/>
          <w:sz w:val="18"/>
          <w:szCs w:val="18"/>
        </w:rPr>
        <w:t xml:space="preserve">Exit gate: Recommendation issued; definition of done met</w:t>
      </w:r>
    </w:p>
    <w:p>
      <w:pPr>
        <w:pStyle w:val="Heading1"/>
        <w:spacing w:after="120" w:before="240"/>
      </w:pPr>
      <w:r>
        <w:rPr>
          <w:rFonts w:ascii="Arial" w:cs="Arial" w:eastAsia="Arial" w:hAnsi="Arial"/>
          <w:b/>
          <w:bCs/>
          <w:color w:val="1D2B3A"/>
          <w:sz w:val="30"/>
          <w:szCs w:val="30"/>
        </w:rPr>
        <w:t xml:space="preserve">5. Recommendations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5526"/>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700"/>
            <w:tcMar>
              <w:top w:type="dxa" w:w="60"/>
              <w:left w:type="dxa" w:w="100"/>
              <w:bottom w:type="dxa" w:w="60"/>
              <w:right w:type="dxa" w:w="100"/>
            </w:tcMar>
          </w:tcPr>
          <w:p>
            <w:r>
              <w:rPr>
                <w:rFonts w:ascii="Arial" w:cs="Arial" w:eastAsia="Arial" w:hAnsi="Arial"/>
                <w:sz w:val="20"/>
                <w:szCs w:val="20"/>
              </w:rPr>
              <w:t xml:space="preserve">R1</w:t>
            </w:r>
          </w:p>
        </w:tc>
        <w:tc>
          <w:tcPr>
            <w:tcW w:type="dxa" w:w="2800"/>
            <w:tcMar>
              <w:top w:type="dxa" w:w="60"/>
              <w:left w:type="dxa" w:w="100"/>
              <w:bottom w:type="dxa" w:w="60"/>
              <w:right w:type="dxa" w:w="100"/>
            </w:tcMar>
          </w:tcPr>
          <w:p>
            <w:r>
              <w:rPr>
                <w:rFonts w:ascii="Arial" w:cs="Arial" w:eastAsia="Arial" w:hAnsi="Arial"/>
                <w:sz w:val="20"/>
                <w:szCs w:val="20"/>
              </w:rPr>
              <w:t xml:space="preserve">Treat connectivity as the critical path</w:t>
            </w:r>
          </w:p>
        </w:tc>
        <w:tc>
          <w:tcPr>
            <w:tcW w:type="dxa" w:w="5526"/>
            <w:tcMar>
              <w:top w:type="dxa" w:w="60"/>
              <w:left w:type="dxa" w:w="100"/>
              <w:bottom w:type="dxa" w:w="60"/>
              <w:right w:type="dxa" w:w="100"/>
            </w:tcMar>
          </w:tcPr>
          <w:p>
            <w:r>
              <w:rPr>
                <w:rFonts w:ascii="Arial" w:cs="Arial" w:eastAsia="Arial" w:hAnsi="Arial"/>
                <w:sz w:val="20"/>
                <w:szCs w:val="20"/>
              </w:rPr>
              <w:t xml:space="preserve">Firewall, allow-list and ONS changes take longest. Raise them in P0/P1 before configuration is ready.</w:t>
            </w:r>
          </w:p>
        </w:tc>
      </w:tr>
      <w:tr>
        <w:tc>
          <w:tcPr>
            <w:tcW w:type="dxa" w:w="700"/>
            <w:tcMar>
              <w:top w:type="dxa" w:w="60"/>
              <w:left w:type="dxa" w:w="100"/>
              <w:bottom w:type="dxa" w:w="60"/>
              <w:right w:type="dxa" w:w="100"/>
            </w:tcMar>
          </w:tcPr>
          <w:p>
            <w:r>
              <w:rPr>
                <w:rFonts w:ascii="Arial" w:cs="Arial" w:eastAsia="Arial" w:hAnsi="Arial"/>
                <w:sz w:val="20"/>
                <w:szCs w:val="20"/>
              </w:rPr>
              <w:t xml:space="preserve">R2</w:t>
            </w:r>
          </w:p>
        </w:tc>
        <w:tc>
          <w:tcPr>
            <w:tcW w:type="dxa" w:w="2800"/>
            <w:tcMar>
              <w:top w:type="dxa" w:w="60"/>
              <w:left w:type="dxa" w:w="100"/>
              <w:bottom w:type="dxa" w:w="60"/>
              <w:right w:type="dxa" w:w="100"/>
            </w:tcMar>
          </w:tcPr>
          <w:p>
            <w:r>
              <w:rPr>
                <w:rFonts w:ascii="Arial" w:cs="Arial" w:eastAsia="Arial" w:hAnsi="Arial"/>
                <w:sz w:val="20"/>
                <w:szCs w:val="20"/>
              </w:rPr>
              <w:t xml:space="preserve">Test file size against the AV scan ceiling early</w:t>
            </w:r>
          </w:p>
        </w:tc>
        <w:tc>
          <w:tcPr>
            <w:tcW w:type="dxa" w:w="5526"/>
            <w:tcMar>
              <w:top w:type="dxa" w:w="60"/>
              <w:left w:type="dxa" w:w="100"/>
              <w:bottom w:type="dxa" w:w="60"/>
              <w:right w:type="dxa" w:w="100"/>
            </w:tcMar>
          </w:tcPr>
          <w:p>
            <w:r>
              <w:rPr>
                <w:rFonts w:ascii="Arial" w:cs="Arial" w:eastAsia="Arial" w:hAnsi="Arial"/>
                <w:sz w:val="20"/>
                <w:szCs w:val="20"/>
              </w:rPr>
              <w:t xml:space="preserve">If the scan file exceeds the approx 250 MB AV limit (G-15), the scan-failure path becomes the normal path.</w:t>
            </w:r>
          </w:p>
        </w:tc>
      </w:tr>
      <w:tr>
        <w:tc>
          <w:tcPr>
            <w:tcW w:type="dxa" w:w="700"/>
            <w:tcMar>
              <w:top w:type="dxa" w:w="60"/>
              <w:left w:type="dxa" w:w="100"/>
              <w:bottom w:type="dxa" w:w="60"/>
              <w:right w:type="dxa" w:w="100"/>
            </w:tcMar>
          </w:tcPr>
          <w:p>
            <w:r>
              <w:rPr>
                <w:rFonts w:ascii="Arial" w:cs="Arial" w:eastAsia="Arial" w:hAnsi="Arial"/>
                <w:sz w:val="20"/>
                <w:szCs w:val="20"/>
              </w:rPr>
              <w:t xml:space="preserve">R3</w:t>
            </w:r>
          </w:p>
        </w:tc>
        <w:tc>
          <w:tcPr>
            <w:tcW w:type="dxa" w:w="2800"/>
            <w:tcMar>
              <w:top w:type="dxa" w:w="60"/>
              <w:left w:type="dxa" w:w="100"/>
              <w:bottom w:type="dxa" w:w="60"/>
              <w:right w:type="dxa" w:w="100"/>
            </w:tcMar>
          </w:tcPr>
          <w:p>
            <w:r>
              <w:rPr>
                <w:rFonts w:ascii="Arial" w:cs="Arial" w:eastAsia="Arial" w:hAnsi="Arial"/>
                <w:sz w:val="20"/>
                <w:szCs w:val="20"/>
              </w:rPr>
              <w:t xml:space="preserve">Decide credential storage explicitly</w:t>
            </w:r>
          </w:p>
        </w:tc>
        <w:tc>
          <w:tcPr>
            <w:tcW w:type="dxa" w:w="5526"/>
            <w:tcMar>
              <w:top w:type="dxa" w:w="60"/>
              <w:left w:type="dxa" w:w="100"/>
              <w:bottom w:type="dxa" w:w="60"/>
              <w:right w:type="dxa" w:w="100"/>
            </w:tcMar>
          </w:tcPr>
          <w:p>
            <w:r>
              <w:rPr>
                <w:rFonts w:ascii="Arial" w:cs="Arial" w:eastAsia="Arial" w:hAnsi="Arial"/>
                <w:sz w:val="20"/>
                <w:szCs w:val="20"/>
              </w:rPr>
              <w:t xml:space="preserve">No documented native route to enterprise PAM (G-14). Record the MVP choice and the target state as a decision.</w:t>
            </w:r>
          </w:p>
        </w:tc>
      </w:tr>
      <w:tr>
        <w:tc>
          <w:tcPr>
            <w:tcW w:type="dxa" w:w="700"/>
            <w:tcMar>
              <w:top w:type="dxa" w:w="60"/>
              <w:left w:type="dxa" w:w="100"/>
              <w:bottom w:type="dxa" w:w="60"/>
              <w:right w:type="dxa" w:w="100"/>
            </w:tcMar>
          </w:tcPr>
          <w:p>
            <w:r>
              <w:rPr>
                <w:rFonts w:ascii="Arial" w:cs="Arial" w:eastAsia="Arial" w:hAnsi="Arial"/>
                <w:sz w:val="20"/>
                <w:szCs w:val="20"/>
              </w:rPr>
              <w:t xml:space="preserve">R4</w:t>
            </w:r>
          </w:p>
        </w:tc>
        <w:tc>
          <w:tcPr>
            <w:tcW w:type="dxa" w:w="2800"/>
            <w:tcMar>
              <w:top w:type="dxa" w:w="60"/>
              <w:left w:type="dxa" w:w="100"/>
              <w:bottom w:type="dxa" w:w="60"/>
              <w:right w:type="dxa" w:w="100"/>
            </w:tcMar>
          </w:tcPr>
          <w:p>
            <w:r>
              <w:rPr>
                <w:rFonts w:ascii="Arial" w:cs="Arial" w:eastAsia="Arial" w:hAnsi="Arial"/>
                <w:sz w:val="20"/>
                <w:szCs w:val="20"/>
              </w:rPr>
              <w:t xml:space="preserve">Document rollback for config promotion</w:t>
            </w:r>
          </w:p>
        </w:tc>
        <w:tc>
          <w:tcPr>
            <w:tcW w:type="dxa" w:w="5526"/>
            <w:tcMar>
              <w:top w:type="dxa" w:w="60"/>
              <w:left w:type="dxa" w:w="100"/>
              <w:bottom w:type="dxa" w:w="60"/>
              <w:right w:type="dxa" w:w="100"/>
            </w:tcMar>
          </w:tcPr>
          <w:p>
            <w:r>
              <w:rPr>
                <w:rFonts w:ascii="Arial" w:cs="Arial" w:eastAsia="Arial" w:hAnsi="Arial"/>
                <w:sz w:val="20"/>
                <w:szCs w:val="20"/>
              </w:rPr>
              <w:t xml:space="preserve">MFT configuration is data, not a build artefact (G-13). Prove rollback as re-promotion of the prior version.</w:t>
            </w:r>
          </w:p>
        </w:tc>
      </w:tr>
      <w:tr>
        <w:tc>
          <w:tcPr>
            <w:tcW w:type="dxa" w:w="700"/>
            <w:tcMar>
              <w:top w:type="dxa" w:w="60"/>
              <w:left w:type="dxa" w:w="100"/>
              <w:bottom w:type="dxa" w:w="60"/>
              <w:right w:type="dxa" w:w="100"/>
            </w:tcMar>
          </w:tcPr>
          <w:p>
            <w:r>
              <w:rPr>
                <w:rFonts w:ascii="Arial" w:cs="Arial" w:eastAsia="Arial" w:hAnsi="Arial"/>
                <w:sz w:val="20"/>
                <w:szCs w:val="20"/>
              </w:rPr>
              <w:t xml:space="preserve">R5</w:t>
            </w:r>
          </w:p>
        </w:tc>
        <w:tc>
          <w:tcPr>
            <w:tcW w:type="dxa" w:w="2800"/>
            <w:tcMar>
              <w:top w:type="dxa" w:w="60"/>
              <w:left w:type="dxa" w:w="100"/>
              <w:bottom w:type="dxa" w:w="60"/>
              <w:right w:type="dxa" w:w="100"/>
            </w:tcMar>
          </w:tcPr>
          <w:p>
            <w:r>
              <w:rPr>
                <w:rFonts w:ascii="Arial" w:cs="Arial" w:eastAsia="Arial" w:hAnsi="Arial"/>
                <w:sz w:val="20"/>
                <w:szCs w:val="20"/>
              </w:rPr>
              <w:t xml:space="preserve">Build against current ADR, re-point later</w:t>
            </w:r>
          </w:p>
        </w:tc>
        <w:tc>
          <w:tcPr>
            <w:tcW w:type="dxa" w:w="5526"/>
            <w:tcMar>
              <w:top w:type="dxa" w:w="60"/>
              <w:left w:type="dxa" w:w="100"/>
              <w:bottom w:type="dxa" w:w="60"/>
              <w:right w:type="dxa" w:w="100"/>
            </w:tcMar>
          </w:tcPr>
          <w:p>
            <w:r>
              <w:rPr>
                <w:rFonts w:ascii="Arial" w:cs="Arial" w:eastAsia="Arial" w:hAnsi="Arial"/>
                <w:sz w:val="20"/>
                <w:szCs w:val="20"/>
              </w:rPr>
              <w:t xml:space="preserve">Proving re-pointing to the Data Lake as a config-only change is itself evidence for scale.</w:t>
            </w:r>
          </w:p>
        </w:tc>
      </w:tr>
      <w:tr>
        <w:tc>
          <w:tcPr>
            <w:tcW w:type="dxa" w:w="700"/>
            <w:tcMar>
              <w:top w:type="dxa" w:w="60"/>
              <w:left w:type="dxa" w:w="100"/>
              <w:bottom w:type="dxa" w:w="60"/>
              <w:right w:type="dxa" w:w="100"/>
            </w:tcMar>
          </w:tcPr>
          <w:p>
            <w:r>
              <w:rPr>
                <w:rFonts w:ascii="Arial" w:cs="Arial" w:eastAsia="Arial" w:hAnsi="Arial"/>
                <w:sz w:val="20"/>
                <w:szCs w:val="20"/>
              </w:rPr>
              <w:t xml:space="preserve">R6</w:t>
            </w:r>
          </w:p>
        </w:tc>
        <w:tc>
          <w:tcPr>
            <w:tcW w:type="dxa" w:w="2800"/>
            <w:tcMar>
              <w:top w:type="dxa" w:w="60"/>
              <w:left w:type="dxa" w:w="100"/>
              <w:bottom w:type="dxa" w:w="60"/>
              <w:right w:type="dxa" w:w="100"/>
            </w:tcMar>
          </w:tcPr>
          <w:p>
            <w:r>
              <w:rPr>
                <w:rFonts w:ascii="Arial" w:cs="Arial" w:eastAsia="Arial" w:hAnsi="Arial"/>
                <w:sz w:val="20"/>
                <w:szCs w:val="20"/>
              </w:rPr>
              <w:t xml:space="preserve">Prove SFTP through any load balancer early</w:t>
            </w:r>
          </w:p>
        </w:tc>
        <w:tc>
          <w:tcPr>
            <w:tcW w:type="dxa" w:w="5526"/>
            <w:tcMar>
              <w:top w:type="dxa" w:w="60"/>
              <w:left w:type="dxa" w:w="100"/>
              <w:bottom w:type="dxa" w:w="60"/>
              <w:right w:type="dxa" w:w="100"/>
            </w:tcMar>
          </w:tcPr>
          <w:p>
            <w:r>
              <w:rPr>
                <w:rFonts w:ascii="Arial" w:cs="Arial" w:eastAsia="Arial" w:hAnsi="Arial"/>
                <w:sz w:val="20"/>
                <w:szCs w:val="20"/>
              </w:rPr>
              <w:t xml:space="preserve">Protocol-layer load balancing, source NAT and allow-lists can break external delivery to ONS.</w:t>
            </w:r>
          </w:p>
        </w:tc>
      </w:tr>
      <w:tr>
        <w:tc>
          <w:tcPr>
            <w:tcW w:type="dxa" w:w="700"/>
            <w:tcMar>
              <w:top w:type="dxa" w:w="60"/>
              <w:left w:type="dxa" w:w="100"/>
              <w:bottom w:type="dxa" w:w="60"/>
              <w:right w:type="dxa" w:w="100"/>
            </w:tcMar>
          </w:tcPr>
          <w:p>
            <w:r>
              <w:rPr>
                <w:rFonts w:ascii="Arial" w:cs="Arial" w:eastAsia="Arial" w:hAnsi="Arial"/>
                <w:sz w:val="20"/>
                <w:szCs w:val="20"/>
              </w:rPr>
              <w:t xml:space="preserve">R7</w:t>
            </w:r>
          </w:p>
        </w:tc>
        <w:tc>
          <w:tcPr>
            <w:tcW w:type="dxa" w:w="2800"/>
            <w:tcMar>
              <w:top w:type="dxa" w:w="60"/>
              <w:left w:type="dxa" w:w="100"/>
              <w:bottom w:type="dxa" w:w="60"/>
              <w:right w:type="dxa" w:w="100"/>
            </w:tcMar>
          </w:tcPr>
          <w:p>
            <w:r>
              <w:rPr>
                <w:rFonts w:ascii="Arial" w:cs="Arial" w:eastAsia="Arial" w:hAnsi="Arial"/>
                <w:sz w:val="20"/>
                <w:szCs w:val="20"/>
              </w:rPr>
              <w:t xml:space="preserve">Keep the legacy route warm until live proof</w:t>
            </w:r>
          </w:p>
        </w:tc>
        <w:tc>
          <w:tcPr>
            <w:tcW w:type="dxa" w:w="5526"/>
            <w:tcMar>
              <w:top w:type="dxa" w:w="60"/>
              <w:left w:type="dxa" w:w="100"/>
              <w:bottom w:type="dxa" w:w="60"/>
              <w:right w:type="dxa" w:w="100"/>
            </w:tcMar>
          </w:tcPr>
          <w:p>
            <w:r>
              <w:rPr>
                <w:rFonts w:ascii="Arial" w:cs="Arial" w:eastAsia="Arial" w:hAnsi="Arial"/>
                <w:sz w:val="20"/>
                <w:szCs w:val="20"/>
              </w:rPr>
              <w:t xml:space="preserve">Run the first production quarter with a fallback to UTM and IF/SDES until SC1 and SC2 are evidenced.</w:t>
            </w:r>
          </w:p>
        </w:tc>
      </w:tr>
      <w:tr>
        <w:tc>
          <w:tcPr>
            <w:tcW w:type="dxa" w:w="700"/>
            <w:tcMar>
              <w:top w:type="dxa" w:w="60"/>
              <w:left w:type="dxa" w:w="100"/>
              <w:bottom w:type="dxa" w:w="60"/>
              <w:right w:type="dxa" w:w="100"/>
            </w:tcMar>
          </w:tcPr>
          <w:p>
            <w:r>
              <w:rPr>
                <w:rFonts w:ascii="Arial" w:cs="Arial" w:eastAsia="Arial" w:hAnsi="Arial"/>
                <w:sz w:val="20"/>
                <w:szCs w:val="20"/>
              </w:rPr>
              <w:t xml:space="preserve">R8</w:t>
            </w:r>
          </w:p>
        </w:tc>
        <w:tc>
          <w:tcPr>
            <w:tcW w:type="dxa" w:w="2800"/>
            <w:tcMar>
              <w:top w:type="dxa" w:w="60"/>
              <w:left w:type="dxa" w:w="100"/>
              <w:bottom w:type="dxa" w:w="60"/>
              <w:right w:type="dxa" w:w="100"/>
            </w:tcMar>
          </w:tcPr>
          <w:p>
            <w:r>
              <w:rPr>
                <w:rFonts w:ascii="Arial" w:cs="Arial" w:eastAsia="Arial" w:hAnsi="Arial"/>
                <w:sz w:val="20"/>
                <w:szCs w:val="20"/>
              </w:rPr>
              <w:t xml:space="preserve">Agree the ONS acknowledgement mechanism</w:t>
            </w:r>
          </w:p>
        </w:tc>
        <w:tc>
          <w:tcPr>
            <w:tcW w:type="dxa" w:w="5526"/>
            <w:tcMar>
              <w:top w:type="dxa" w:w="60"/>
              <w:left w:type="dxa" w:w="100"/>
              <w:bottom w:type="dxa" w:w="60"/>
              <w:right w:type="dxa" w:w="100"/>
            </w:tcMar>
          </w:tcPr>
          <w:p>
            <w:r>
              <w:rPr>
                <w:rFonts w:ascii="Arial" w:cs="Arial" w:eastAsia="Arial" w:hAnsi="Arial"/>
                <w:sz w:val="20"/>
                <w:szCs w:val="20"/>
              </w:rPr>
              <w:t xml:space="preserve">SC2 requires acknowledged receipt; confirm what counts as an acknowledgement before build.</w:t>
            </w:r>
          </w:p>
        </w:tc>
      </w:tr>
    </w:tbl>
    <w:p>
      <w:pPr>
        <w:pStyle w:val="Heading1"/>
        <w:spacing w:after="120" w:before="240"/>
      </w:pPr>
      <w:r>
        <w:rPr>
          <w:rFonts w:ascii="Arial" w:cs="Arial" w:eastAsia="Arial" w:hAnsi="Arial"/>
          <w:b/>
          <w:bCs/>
          <w:color w:val="1D2B3A"/>
          <w:sz w:val="30"/>
          <w:szCs w:val="30"/>
        </w:rPr>
        <w:t xml:space="preserve">6. Traceability: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826"/>
        <w:gridCol w:w="2500"/>
      </w:tblGrid>
      <w:tr>
        <w:trPr>
          <w:tblHeader/>
        </w:trPr>
        <w:tc>
          <w:tcPr>
            <w:tcW w:type="dxa" w:w="7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5826"/>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25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Needed by</w:t>
            </w:r>
          </w:p>
        </w:tc>
      </w:tr>
      <w:tr>
        <w:tc>
          <w:tcPr>
            <w:tcW w:type="dxa" w:w="700"/>
            <w:tcMar>
              <w:top w:type="dxa" w:w="60"/>
              <w:left w:type="dxa" w:w="100"/>
              <w:bottom w:type="dxa" w:w="60"/>
              <w:right w:type="dxa" w:w="100"/>
            </w:tcMar>
          </w:tcPr>
          <w:p>
            <w:r>
              <w:rPr>
                <w:rFonts w:ascii="Arial" w:cs="Arial" w:eastAsia="Arial" w:hAnsi="Arial"/>
                <w:sz w:val="20"/>
                <w:szCs w:val="20"/>
              </w:rPr>
              <w:t xml:space="preserve">D1</w:t>
            </w:r>
          </w:p>
        </w:tc>
        <w:tc>
          <w:tcPr>
            <w:tcW w:type="dxa" w:w="5826"/>
            <w:tcMar>
              <w:top w:type="dxa" w:w="60"/>
              <w:left w:type="dxa" w:w="100"/>
              <w:bottom w:type="dxa" w:w="60"/>
              <w:right w:type="dxa" w:w="100"/>
            </w:tcMar>
          </w:tcPr>
          <w:p>
            <w:r>
              <w:rPr>
                <w:rFonts w:ascii="Arial" w:cs="Arial" w:eastAsia="Arial" w:hAnsi="Arial"/>
                <w:sz w:val="20"/>
                <w:szCs w:val="20"/>
              </w:rPr>
              <w:t xml:space="preserve">Dev, Test, Pre-prod and Prod environments on Boomi SaaS MFT, including MFT CI/CD portal</w:t>
            </w:r>
          </w:p>
        </w:tc>
        <w:tc>
          <w:tcPr>
            <w:tcW w:type="dxa" w:w="2500"/>
            <w:tcMar>
              <w:top w:type="dxa" w:w="60"/>
              <w:left w:type="dxa" w:w="100"/>
              <w:bottom w:type="dxa" w:w="60"/>
              <w:right w:type="dxa" w:w="100"/>
            </w:tcMar>
          </w:tcPr>
          <w:p>
            <w:r>
              <w:rPr>
                <w:rFonts w:ascii="Arial" w:cs="Arial" w:eastAsia="Arial" w:hAnsi="Arial"/>
                <w:sz w:val="20"/>
                <w:szCs w:val="20"/>
              </w:rPr>
              <w:t xml:space="preserve">P1, P3, P5</w:t>
            </w:r>
          </w:p>
        </w:tc>
      </w:tr>
      <w:tr>
        <w:tc>
          <w:tcPr>
            <w:tcW w:type="dxa" w:w="700"/>
            <w:tcMar>
              <w:top w:type="dxa" w:w="60"/>
              <w:left w:type="dxa" w:w="100"/>
              <w:bottom w:type="dxa" w:w="60"/>
              <w:right w:type="dxa" w:w="100"/>
            </w:tcMar>
          </w:tcPr>
          <w:p>
            <w:r>
              <w:rPr>
                <w:rFonts w:ascii="Arial" w:cs="Arial" w:eastAsia="Arial" w:hAnsi="Arial"/>
                <w:sz w:val="20"/>
                <w:szCs w:val="20"/>
              </w:rPr>
              <w:t xml:space="preserve">D2</w:t>
            </w:r>
          </w:p>
        </w:tc>
        <w:tc>
          <w:tcPr>
            <w:tcW w:type="dxa" w:w="5826"/>
            <w:tcMar>
              <w:top w:type="dxa" w:w="60"/>
              <w:left w:type="dxa" w:w="100"/>
              <w:bottom w:type="dxa" w:w="60"/>
              <w:right w:type="dxa" w:w="100"/>
            </w:tcMar>
          </w:tcPr>
          <w:p>
            <w:r>
              <w:rPr>
                <w:rFonts w:ascii="Arial" w:cs="Arial" w:eastAsia="Arial" w:hAnsi="Arial"/>
                <w:sz w:val="20"/>
                <w:szCs w:val="20"/>
              </w:rPr>
              <w:t xml:space="preserve">Organisation-hosted Boomi runtimes with anti-virus capability</w:t>
            </w:r>
          </w:p>
        </w:tc>
        <w:tc>
          <w:tcPr>
            <w:tcW w:type="dxa" w:w="2500"/>
            <w:tcMar>
              <w:top w:type="dxa" w:w="60"/>
              <w:left w:type="dxa" w:w="100"/>
              <w:bottom w:type="dxa" w:w="60"/>
              <w:right w:type="dxa" w:w="100"/>
            </w:tcMar>
          </w:tcPr>
          <w:p>
            <w:r>
              <w:rPr>
                <w:rFonts w:ascii="Arial" w:cs="Arial" w:eastAsia="Arial" w:hAnsi="Arial"/>
                <w:sz w:val="20"/>
                <w:szCs w:val="20"/>
              </w:rPr>
              <w:t xml:space="preserve">P1, P2</w:t>
            </w:r>
          </w:p>
        </w:tc>
      </w:tr>
      <w:tr>
        <w:tc>
          <w:tcPr>
            <w:tcW w:type="dxa" w:w="700"/>
            <w:tcMar>
              <w:top w:type="dxa" w:w="60"/>
              <w:left w:type="dxa" w:w="100"/>
              <w:bottom w:type="dxa" w:w="60"/>
              <w:right w:type="dxa" w:w="100"/>
            </w:tcMar>
          </w:tcPr>
          <w:p>
            <w:r>
              <w:rPr>
                <w:rFonts w:ascii="Arial" w:cs="Arial" w:eastAsia="Arial" w:hAnsi="Arial"/>
                <w:sz w:val="20"/>
                <w:szCs w:val="20"/>
              </w:rPr>
              <w:t xml:space="preserve">D3</w:t>
            </w:r>
          </w:p>
        </w:tc>
        <w:tc>
          <w:tcPr>
            <w:tcW w:type="dxa" w:w="5826"/>
            <w:tcMar>
              <w:top w:type="dxa" w:w="60"/>
              <w:left w:type="dxa" w:w="100"/>
              <w:bottom w:type="dxa" w:w="60"/>
              <w:right w:type="dxa" w:w="100"/>
            </w:tcMar>
          </w:tcPr>
          <w:p>
            <w:r>
              <w:rPr>
                <w:rFonts w:ascii="Arial" w:cs="Arial" w:eastAsia="Arial" w:hAnsi="Arial"/>
                <w:sz w:val="20"/>
                <w:szCs w:val="20"/>
              </w:rPr>
              <w:t xml:space="preserve">End-to-end connectivity, firewall and allow-list changes for NPS, ADR/Data Lake and ONS, with credentials, certificates and host keys</w:t>
            </w:r>
          </w:p>
        </w:tc>
        <w:tc>
          <w:tcPr>
            <w:tcW w:type="dxa" w:w="2500"/>
            <w:tcMar>
              <w:top w:type="dxa" w:w="60"/>
              <w:left w:type="dxa" w:w="100"/>
              <w:bottom w:type="dxa" w:w="60"/>
              <w:right w:type="dxa" w:w="100"/>
            </w:tcMar>
          </w:tcPr>
          <w:p>
            <w:r>
              <w:rPr>
                <w:rFonts w:ascii="Arial" w:cs="Arial" w:eastAsia="Arial" w:hAnsi="Arial"/>
                <w:sz w:val="20"/>
                <w:szCs w:val="20"/>
              </w:rPr>
              <w:t xml:space="preserve">P1, P2, P3, P4</w:t>
            </w:r>
          </w:p>
        </w:tc>
      </w:tr>
      <w:tr>
        <w:tc>
          <w:tcPr>
            <w:tcW w:type="dxa" w:w="700"/>
            <w:tcMar>
              <w:top w:type="dxa" w:w="60"/>
              <w:left w:type="dxa" w:w="100"/>
              <w:bottom w:type="dxa" w:w="60"/>
              <w:right w:type="dxa" w:w="100"/>
            </w:tcMar>
          </w:tcPr>
          <w:p>
            <w:r>
              <w:rPr>
                <w:rFonts w:ascii="Arial" w:cs="Arial" w:eastAsia="Arial" w:hAnsi="Arial"/>
                <w:sz w:val="20"/>
                <w:szCs w:val="20"/>
              </w:rPr>
              <w:t xml:space="preserve">D4</w:t>
            </w:r>
          </w:p>
        </w:tc>
        <w:tc>
          <w:tcPr>
            <w:tcW w:type="dxa" w:w="5826"/>
            <w:tcMar>
              <w:top w:type="dxa" w:w="60"/>
              <w:left w:type="dxa" w:w="100"/>
              <w:bottom w:type="dxa" w:w="60"/>
              <w:right w:type="dxa" w:w="100"/>
            </w:tcMar>
          </w:tcPr>
          <w:p>
            <w:r>
              <w:rPr>
                <w:rFonts w:ascii="Arial" w:cs="Arial" w:eastAsia="Arial" w:hAnsi="Arial"/>
                <w:sz w:val="20"/>
                <w:szCs w:val="20"/>
              </w:rPr>
              <w:t xml:space="preserve">ONS agreement to receive from the new sending endpoint, plus a production-like lower environment</w:t>
            </w:r>
          </w:p>
        </w:tc>
        <w:tc>
          <w:tcPr>
            <w:tcW w:type="dxa" w:w="2500"/>
            <w:tcMar>
              <w:top w:type="dxa" w:w="60"/>
              <w:left w:type="dxa" w:w="100"/>
              <w:bottom w:type="dxa" w:w="60"/>
              <w:right w:type="dxa" w:w="100"/>
            </w:tcMar>
          </w:tcPr>
          <w:p>
            <w:r>
              <w:rPr>
                <w:rFonts w:ascii="Arial" w:cs="Arial" w:eastAsia="Arial" w:hAnsi="Arial"/>
                <w:sz w:val="20"/>
                <w:szCs w:val="20"/>
              </w:rPr>
              <w:t xml:space="preserve">P1, P4, P7</w:t>
            </w:r>
          </w:p>
        </w:tc>
      </w:tr>
      <w:tr>
        <w:tc>
          <w:tcPr>
            <w:tcW w:type="dxa" w:w="700"/>
            <w:tcMar>
              <w:top w:type="dxa" w:w="60"/>
              <w:left w:type="dxa" w:w="100"/>
              <w:bottom w:type="dxa" w:w="60"/>
              <w:right w:type="dxa" w:w="100"/>
            </w:tcMar>
          </w:tcPr>
          <w:p>
            <w:r>
              <w:rPr>
                <w:rFonts w:ascii="Arial" w:cs="Arial" w:eastAsia="Arial" w:hAnsi="Arial"/>
                <w:sz w:val="20"/>
                <w:szCs w:val="20"/>
              </w:rPr>
              <w:t xml:space="preserve">D5</w:t>
            </w:r>
          </w:p>
        </w:tc>
        <w:tc>
          <w:tcPr>
            <w:tcW w:type="dxa" w:w="5826"/>
            <w:tcMar>
              <w:top w:type="dxa" w:w="60"/>
              <w:left w:type="dxa" w:w="100"/>
              <w:bottom w:type="dxa" w:w="60"/>
              <w:right w:type="dxa" w:w="100"/>
            </w:tcMar>
          </w:tcPr>
          <w:p>
            <w:r>
              <w:rPr>
                <w:rFonts w:ascii="Arial" w:cs="Arial" w:eastAsia="Arial" w:hAnsi="Arial"/>
                <w:sz w:val="20"/>
                <w:szCs w:val="20"/>
              </w:rPr>
              <w:t xml:space="preserve">Representative or synthetic test files, confirmed file naming rules and data classification</w:t>
            </w:r>
          </w:p>
        </w:tc>
        <w:tc>
          <w:tcPr>
            <w:tcW w:type="dxa" w:w="2500"/>
            <w:tcMar>
              <w:top w:type="dxa" w:w="60"/>
              <w:left w:type="dxa" w:w="100"/>
              <w:bottom w:type="dxa" w:w="60"/>
              <w:right w:type="dxa" w:w="100"/>
            </w:tcMar>
          </w:tcPr>
          <w:p>
            <w:r>
              <w:rPr>
                <w:rFonts w:ascii="Arial" w:cs="Arial" w:eastAsia="Arial" w:hAnsi="Arial"/>
                <w:sz w:val="20"/>
                <w:szCs w:val="20"/>
              </w:rPr>
              <w:t xml:space="preserve">P0, P2, P3, P4, P7</w:t>
            </w:r>
          </w:p>
        </w:tc>
      </w:tr>
      <w:tr>
        <w:tc>
          <w:tcPr>
            <w:tcW w:type="dxa" w:w="700"/>
            <w:tcMar>
              <w:top w:type="dxa" w:w="60"/>
              <w:left w:type="dxa" w:w="100"/>
              <w:bottom w:type="dxa" w:w="60"/>
              <w:right w:type="dxa" w:w="100"/>
            </w:tcMar>
          </w:tcPr>
          <w:p>
            <w:r>
              <w:rPr>
                <w:rFonts w:ascii="Arial" w:cs="Arial" w:eastAsia="Arial" w:hAnsi="Arial"/>
                <w:sz w:val="20"/>
                <w:szCs w:val="20"/>
              </w:rPr>
              <w:t xml:space="preserve">D6</w:t>
            </w:r>
          </w:p>
        </w:tc>
        <w:tc>
          <w:tcPr>
            <w:tcW w:type="dxa" w:w="5826"/>
            <w:tcMar>
              <w:top w:type="dxa" w:w="60"/>
              <w:left w:type="dxa" w:w="100"/>
              <w:bottom w:type="dxa" w:w="60"/>
              <w:right w:type="dxa" w:w="100"/>
            </w:tcMar>
          </w:tcPr>
          <w:p>
            <w:r>
              <w:rPr>
                <w:rFonts w:ascii="Arial" w:cs="Arial" w:eastAsia="Arial" w:hAnsi="Arial"/>
                <w:sz w:val="20"/>
                <w:szCs w:val="20"/>
              </w:rPr>
              <w:t xml:space="preserve">Windows Server readiness including Microsoft Defender Antivirus and platform security controls</w:t>
            </w:r>
          </w:p>
        </w:tc>
        <w:tc>
          <w:tcPr>
            <w:tcW w:type="dxa" w:w="2500"/>
            <w:tcMar>
              <w:top w:type="dxa" w:w="60"/>
              <w:left w:type="dxa" w:w="100"/>
              <w:bottom w:type="dxa" w:w="60"/>
              <w:right w:type="dxa" w:w="100"/>
            </w:tcMar>
          </w:tcPr>
          <w:p>
            <w:r>
              <w:rPr>
                <w:rFonts w:ascii="Arial" w:cs="Arial" w:eastAsia="Arial" w:hAnsi="Arial"/>
                <w:sz w:val="20"/>
                <w:szCs w:val="20"/>
              </w:rPr>
              <w:t xml:space="preserve">P1, P2</w:t>
            </w:r>
          </w:p>
        </w:tc>
      </w:tr>
      <w:tr>
        <w:tc>
          <w:tcPr>
            <w:tcW w:type="dxa" w:w="700"/>
            <w:tcMar>
              <w:top w:type="dxa" w:w="60"/>
              <w:left w:type="dxa" w:w="100"/>
              <w:bottom w:type="dxa" w:w="60"/>
              <w:right w:type="dxa" w:w="100"/>
            </w:tcMar>
          </w:tcPr>
          <w:p>
            <w:r>
              <w:rPr>
                <w:rFonts w:ascii="Arial" w:cs="Arial" w:eastAsia="Arial" w:hAnsi="Arial"/>
                <w:sz w:val="20"/>
                <w:szCs w:val="20"/>
              </w:rPr>
              <w:t xml:space="preserve">D7</w:t>
            </w:r>
          </w:p>
        </w:tc>
        <w:tc>
          <w:tcPr>
            <w:tcW w:type="dxa" w:w="5826"/>
            <w:tcMar>
              <w:top w:type="dxa" w:w="60"/>
              <w:left w:type="dxa" w:w="100"/>
              <w:bottom w:type="dxa" w:w="60"/>
              <w:right w:type="dxa" w:w="100"/>
            </w:tcMar>
          </w:tcPr>
          <w:p>
            <w:r>
              <w:rPr>
                <w:rFonts w:ascii="Arial" w:cs="Arial" w:eastAsia="Arial" w:hAnsi="Arial"/>
                <w:sz w:val="20"/>
                <w:szCs w:val="20"/>
              </w:rPr>
              <w:t xml:space="preserve">Decision on ADR-to-Data Lake migration (recommended: build against available endpoint, re-point by configuration)</w:t>
            </w:r>
          </w:p>
        </w:tc>
        <w:tc>
          <w:tcPr>
            <w:tcW w:type="dxa" w:w="2500"/>
            <w:tcMar>
              <w:top w:type="dxa" w:w="60"/>
              <w:left w:type="dxa" w:w="100"/>
              <w:bottom w:type="dxa" w:w="60"/>
              <w:right w:type="dxa" w:w="100"/>
            </w:tcMar>
          </w:tcPr>
          <w:p>
            <w:r>
              <w:rPr>
                <w:rFonts w:ascii="Arial" w:cs="Arial" w:eastAsia="Arial" w:hAnsi="Arial"/>
                <w:sz w:val="20"/>
                <w:szCs w:val="20"/>
              </w:rPr>
              <w:t xml:space="preserve">P0</w:t>
            </w:r>
          </w:p>
        </w:tc>
      </w:tr>
      <w:tr>
        <w:tc>
          <w:tcPr>
            <w:tcW w:type="dxa" w:w="700"/>
            <w:tcMar>
              <w:top w:type="dxa" w:w="60"/>
              <w:left w:type="dxa" w:w="100"/>
              <w:bottom w:type="dxa" w:w="60"/>
              <w:right w:type="dxa" w:w="100"/>
            </w:tcMar>
          </w:tcPr>
          <w:p>
            <w:r>
              <w:rPr>
                <w:rFonts w:ascii="Arial" w:cs="Arial" w:eastAsia="Arial" w:hAnsi="Arial"/>
                <w:sz w:val="20"/>
                <w:szCs w:val="20"/>
              </w:rPr>
              <w:t xml:space="preserve">D8</w:t>
            </w:r>
          </w:p>
        </w:tc>
        <w:tc>
          <w:tcPr>
            <w:tcW w:type="dxa" w:w="5826"/>
            <w:tcMar>
              <w:top w:type="dxa" w:w="60"/>
              <w:left w:type="dxa" w:w="100"/>
              <w:bottom w:type="dxa" w:w="60"/>
              <w:right w:type="dxa" w:w="100"/>
            </w:tcMar>
          </w:tcPr>
          <w:p>
            <w:r>
              <w:rPr>
                <w:rFonts w:ascii="Arial" w:cs="Arial" w:eastAsia="Arial" w:hAnsi="Arial"/>
                <w:sz w:val="20"/>
                <w:szCs w:val="20"/>
              </w:rPr>
              <w:t xml:space="preserve">Named business, DWIT, security, network, operations contacts plus Boomi implementation and 24x7 support</w:t>
            </w:r>
          </w:p>
        </w:tc>
        <w:tc>
          <w:tcPr>
            <w:tcW w:type="dxa" w:w="2500"/>
            <w:tcMar>
              <w:top w:type="dxa" w:w="60"/>
              <w:left w:type="dxa" w:w="100"/>
              <w:bottom w:type="dxa" w:w="60"/>
              <w:right w:type="dxa" w:w="100"/>
            </w:tcMar>
          </w:tcPr>
          <w:p>
            <w:r>
              <w:rPr>
                <w:rFonts w:ascii="Arial" w:cs="Arial" w:eastAsia="Arial" w:hAnsi="Arial"/>
                <w:sz w:val="20"/>
                <w:szCs w:val="20"/>
              </w:rPr>
              <w:t xml:space="preserve">P0, P6, P8</w:t>
            </w:r>
          </w:p>
        </w:tc>
      </w:tr>
    </w:tbl>
    <w:p>
      <w:pPr>
        <w:pStyle w:val="Heading1"/>
        <w:spacing w:after="120" w:before="240"/>
      </w:pPr>
      <w:r>
        <w:rPr>
          <w:rFonts w:ascii="Arial" w:cs="Arial" w:eastAsia="Arial" w:hAnsi="Arial"/>
          <w:b/>
          <w:bCs/>
          <w:color w:val="1D2B3A"/>
          <w:sz w:val="30"/>
          <w:szCs w:val="30"/>
        </w:rPr>
        <w:t xml:space="preserve">7. Traceability: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826"/>
        <w:gridCol w:w="2500"/>
      </w:tblGrid>
      <w:tr>
        <w:trPr>
          <w:tblHeader/>
        </w:trPr>
        <w:tc>
          <w:tcPr>
            <w:tcW w:type="dxa" w:w="7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5826"/>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Success criterion</w:t>
            </w:r>
          </w:p>
        </w:tc>
        <w:tc>
          <w:tcPr>
            <w:tcW w:type="dxa" w:w="2500"/>
            <w:shd w:fill="1D2B3A" w:color="auto" w:val="clear"/>
            <w:tcMar>
              <w:top w:type="dxa" w:w="60"/>
              <w:left w:type="dxa" w:w="100"/>
              <w:bottom w:type="dxa" w:w="60"/>
              <w:right w:type="dxa" w:w="100"/>
            </w:tcMar>
          </w:tcPr>
          <w:p>
            <w:r>
              <w:rPr>
                <w:rFonts w:ascii="Arial" w:cs="Arial" w:eastAsia="Arial" w:hAnsi="Arial"/>
                <w:b/>
                <w:bCs/>
                <w:color w:val="FFFFFF"/>
                <w:sz w:val="20"/>
                <w:szCs w:val="20"/>
              </w:rPr>
              <w:t xml:space="preserve">Evidenced in</w:t>
            </w:r>
          </w:p>
        </w:tc>
      </w:tr>
      <w:tr>
        <w:tc>
          <w:tcPr>
            <w:tcW w:type="dxa" w:w="700"/>
            <w:tcMar>
              <w:top w:type="dxa" w:w="60"/>
              <w:left w:type="dxa" w:w="100"/>
              <w:bottom w:type="dxa" w:w="60"/>
              <w:right w:type="dxa" w:w="100"/>
            </w:tcMar>
          </w:tcPr>
          <w:p>
            <w:r>
              <w:rPr>
                <w:rFonts w:ascii="Arial" w:cs="Arial" w:eastAsia="Arial" w:hAnsi="Arial"/>
                <w:sz w:val="20"/>
                <w:szCs w:val="20"/>
              </w:rPr>
              <w:t xml:space="preserve">SC1</w:t>
            </w:r>
          </w:p>
        </w:tc>
        <w:tc>
          <w:tcPr>
            <w:tcW w:type="dxa" w:w="5826"/>
            <w:tcMar>
              <w:top w:type="dxa" w:w="60"/>
              <w:left w:type="dxa" w:w="100"/>
              <w:bottom w:type="dxa" w:w="60"/>
              <w:right w:type="dxa" w:w="100"/>
            </w:tcMar>
          </w:tcPr>
          <w:p>
            <w:r>
              <w:rPr>
                <w:rFonts w:ascii="Arial" w:cs="Arial" w:eastAsia="Arial" w:hAnsi="Arial"/>
                <w:sz w:val="20"/>
                <w:szCs w:val="20"/>
              </w:rPr>
              <w:t xml:space="preserve">Leg A delivers the file into the ADR or Data Lake landing area</w:t>
            </w:r>
          </w:p>
        </w:tc>
        <w:tc>
          <w:tcPr>
            <w:tcW w:type="dxa" w:w="2500"/>
            <w:tcMar>
              <w:top w:type="dxa" w:w="60"/>
              <w:left w:type="dxa" w:w="100"/>
              <w:bottom w:type="dxa" w:w="60"/>
              <w:right w:type="dxa" w:w="100"/>
            </w:tcMar>
          </w:tcPr>
          <w:p>
            <w:r>
              <w:rPr>
                <w:rFonts w:ascii="Arial" w:cs="Arial" w:eastAsia="Arial" w:hAnsi="Arial"/>
                <w:sz w:val="20"/>
                <w:szCs w:val="20"/>
              </w:rPr>
              <w:t xml:space="preserve">P3, P7, P8, P9</w:t>
            </w:r>
          </w:p>
        </w:tc>
      </w:tr>
      <w:tr>
        <w:tc>
          <w:tcPr>
            <w:tcW w:type="dxa" w:w="700"/>
            <w:tcMar>
              <w:top w:type="dxa" w:w="60"/>
              <w:left w:type="dxa" w:w="100"/>
              <w:bottom w:type="dxa" w:w="60"/>
              <w:right w:type="dxa" w:w="100"/>
            </w:tcMar>
          </w:tcPr>
          <w:p>
            <w:r>
              <w:rPr>
                <w:rFonts w:ascii="Arial" w:cs="Arial" w:eastAsia="Arial" w:hAnsi="Arial"/>
                <w:sz w:val="20"/>
                <w:szCs w:val="20"/>
              </w:rPr>
              <w:t xml:space="preserve">SC2</w:t>
            </w:r>
          </w:p>
        </w:tc>
        <w:tc>
          <w:tcPr>
            <w:tcW w:type="dxa" w:w="5826"/>
            <w:tcMar>
              <w:top w:type="dxa" w:w="60"/>
              <w:left w:type="dxa" w:w="100"/>
              <w:bottom w:type="dxa" w:w="60"/>
              <w:right w:type="dxa" w:w="100"/>
            </w:tcMar>
          </w:tcPr>
          <w:p>
            <w:r>
              <w:rPr>
                <w:rFonts w:ascii="Arial" w:cs="Arial" w:eastAsia="Arial" w:hAnsi="Arial"/>
                <w:sz w:val="20"/>
                <w:szCs w:val="20"/>
              </w:rPr>
              <w:t xml:space="preserve">Leg B delivers directly to ONS and receipt is acknowledged</w:t>
            </w:r>
          </w:p>
        </w:tc>
        <w:tc>
          <w:tcPr>
            <w:tcW w:type="dxa" w:w="2500"/>
            <w:tcMar>
              <w:top w:type="dxa" w:w="60"/>
              <w:left w:type="dxa" w:w="100"/>
              <w:bottom w:type="dxa" w:w="60"/>
              <w:right w:type="dxa" w:w="100"/>
            </w:tcMar>
          </w:tcPr>
          <w:p>
            <w:r>
              <w:rPr>
                <w:rFonts w:ascii="Arial" w:cs="Arial" w:eastAsia="Arial" w:hAnsi="Arial"/>
                <w:sz w:val="20"/>
                <w:szCs w:val="20"/>
              </w:rPr>
              <w:t xml:space="preserve">P4, P7, P8, P9</w:t>
            </w:r>
          </w:p>
        </w:tc>
      </w:tr>
      <w:tr>
        <w:tc>
          <w:tcPr>
            <w:tcW w:type="dxa" w:w="700"/>
            <w:tcMar>
              <w:top w:type="dxa" w:w="60"/>
              <w:left w:type="dxa" w:w="100"/>
              <w:bottom w:type="dxa" w:w="60"/>
              <w:right w:type="dxa" w:w="100"/>
            </w:tcMar>
          </w:tcPr>
          <w:p>
            <w:r>
              <w:rPr>
                <w:rFonts w:ascii="Arial" w:cs="Arial" w:eastAsia="Arial" w:hAnsi="Arial"/>
                <w:sz w:val="20"/>
                <w:szCs w:val="20"/>
              </w:rPr>
              <w:t xml:space="preserve">SC3</w:t>
            </w:r>
          </w:p>
        </w:tc>
        <w:tc>
          <w:tcPr>
            <w:tcW w:type="dxa" w:w="5826"/>
            <w:tcMar>
              <w:top w:type="dxa" w:w="60"/>
              <w:left w:type="dxa" w:w="100"/>
              <w:bottom w:type="dxa" w:w="60"/>
              <w:right w:type="dxa" w:w="100"/>
            </w:tcMar>
          </w:tcPr>
          <w:p>
            <w:r>
              <w:rPr>
                <w:rFonts w:ascii="Arial" w:cs="Arial" w:eastAsia="Arial" w:hAnsi="Arial"/>
                <w:sz w:val="20"/>
                <w:szCs w:val="20"/>
              </w:rPr>
              <w:t xml:space="preserve">Both legs configured in Dev and promoted through approval-controlled CI/CD</w:t>
            </w:r>
          </w:p>
        </w:tc>
        <w:tc>
          <w:tcPr>
            <w:tcW w:type="dxa" w:w="2500"/>
            <w:tcMar>
              <w:top w:type="dxa" w:w="60"/>
              <w:left w:type="dxa" w:w="100"/>
              <w:bottom w:type="dxa" w:w="60"/>
              <w:right w:type="dxa" w:w="100"/>
            </w:tcMar>
          </w:tcPr>
          <w:p>
            <w:r>
              <w:rPr>
                <w:rFonts w:ascii="Arial" w:cs="Arial" w:eastAsia="Arial" w:hAnsi="Arial"/>
                <w:sz w:val="20"/>
                <w:szCs w:val="20"/>
              </w:rPr>
              <w:t xml:space="preserve">P5, P7, P9</w:t>
            </w:r>
          </w:p>
        </w:tc>
      </w:tr>
      <w:tr>
        <w:tc>
          <w:tcPr>
            <w:tcW w:type="dxa" w:w="700"/>
            <w:tcMar>
              <w:top w:type="dxa" w:w="60"/>
              <w:left w:type="dxa" w:w="100"/>
              <w:bottom w:type="dxa" w:w="60"/>
              <w:right w:type="dxa" w:w="100"/>
            </w:tcMar>
          </w:tcPr>
          <w:p>
            <w:r>
              <w:rPr>
                <w:rFonts w:ascii="Arial" w:cs="Arial" w:eastAsia="Arial" w:hAnsi="Arial"/>
                <w:sz w:val="20"/>
                <w:szCs w:val="20"/>
              </w:rPr>
              <w:t xml:space="preserve">SC4</w:t>
            </w:r>
          </w:p>
        </w:tc>
        <w:tc>
          <w:tcPr>
            <w:tcW w:type="dxa" w:w="5826"/>
            <w:tcMar>
              <w:top w:type="dxa" w:w="60"/>
              <w:left w:type="dxa" w:w="100"/>
              <w:bottom w:type="dxa" w:w="60"/>
              <w:right w:type="dxa" w:w="100"/>
            </w:tcMar>
          </w:tcPr>
          <w:p>
            <w:r>
              <w:rPr>
                <w:rFonts w:ascii="Arial" w:cs="Arial" w:eastAsia="Arial" w:hAnsi="Arial"/>
                <w:sz w:val="20"/>
                <w:szCs w:val="20"/>
              </w:rPr>
              <w:t xml:space="preserve">Scheduling runs without manual intervention; transfer history visible end to end</w:t>
            </w:r>
          </w:p>
        </w:tc>
        <w:tc>
          <w:tcPr>
            <w:tcW w:type="dxa" w:w="2500"/>
            <w:tcMar>
              <w:top w:type="dxa" w:w="60"/>
              <w:left w:type="dxa" w:w="100"/>
              <w:bottom w:type="dxa" w:w="60"/>
              <w:right w:type="dxa" w:w="100"/>
            </w:tcMar>
          </w:tcPr>
          <w:p>
            <w:r>
              <w:rPr>
                <w:rFonts w:ascii="Arial" w:cs="Arial" w:eastAsia="Arial" w:hAnsi="Arial"/>
                <w:sz w:val="20"/>
                <w:szCs w:val="20"/>
              </w:rPr>
              <w:t xml:space="preserve">P3, P4, P6, P7, P8, P9</w:t>
            </w:r>
          </w:p>
        </w:tc>
      </w:tr>
      <w:tr>
        <w:tc>
          <w:tcPr>
            <w:tcW w:type="dxa" w:w="700"/>
            <w:tcMar>
              <w:top w:type="dxa" w:w="60"/>
              <w:left w:type="dxa" w:w="100"/>
              <w:bottom w:type="dxa" w:w="60"/>
              <w:right w:type="dxa" w:w="100"/>
            </w:tcMar>
          </w:tcPr>
          <w:p>
            <w:r>
              <w:rPr>
                <w:rFonts w:ascii="Arial" w:cs="Arial" w:eastAsia="Arial" w:hAnsi="Arial"/>
                <w:sz w:val="20"/>
                <w:szCs w:val="20"/>
              </w:rPr>
              <w:t xml:space="preserve">SC5</w:t>
            </w:r>
          </w:p>
        </w:tc>
        <w:tc>
          <w:tcPr>
            <w:tcW w:type="dxa" w:w="5826"/>
            <w:tcMar>
              <w:top w:type="dxa" w:w="60"/>
              <w:left w:type="dxa" w:w="100"/>
              <w:bottom w:type="dxa" w:w="60"/>
              <w:right w:type="dxa" w:w="100"/>
            </w:tcMar>
          </w:tcPr>
          <w:p>
            <w:r>
              <w:rPr>
                <w:rFonts w:ascii="Arial" w:cs="Arial" w:eastAsia="Arial" w:hAnsi="Arial"/>
                <w:sz w:val="20"/>
                <w:szCs w:val="20"/>
              </w:rPr>
              <w:t xml:space="preserve">Non-arrival, transfer failure and scan failure raise evidenced alerts to a named team</w:t>
            </w:r>
          </w:p>
        </w:tc>
        <w:tc>
          <w:tcPr>
            <w:tcW w:type="dxa" w:w="2500"/>
            <w:tcMar>
              <w:top w:type="dxa" w:w="60"/>
              <w:left w:type="dxa" w:w="100"/>
              <w:bottom w:type="dxa" w:w="60"/>
              <w:right w:type="dxa" w:w="100"/>
            </w:tcMar>
          </w:tcPr>
          <w:p>
            <w:r>
              <w:rPr>
                <w:rFonts w:ascii="Arial" w:cs="Arial" w:eastAsia="Arial" w:hAnsi="Arial"/>
                <w:sz w:val="20"/>
                <w:szCs w:val="20"/>
              </w:rPr>
              <w:t xml:space="preserve">P2, P3, P4, P6, P7, P8, P9</w:t>
            </w:r>
          </w:p>
        </w:tc>
      </w:tr>
      <w:tr>
        <w:tc>
          <w:tcPr>
            <w:tcW w:type="dxa" w:w="700"/>
            <w:tcMar>
              <w:top w:type="dxa" w:w="60"/>
              <w:left w:type="dxa" w:w="100"/>
              <w:bottom w:type="dxa" w:w="60"/>
              <w:right w:type="dxa" w:w="100"/>
            </w:tcMar>
          </w:tcPr>
          <w:p>
            <w:r>
              <w:rPr>
                <w:rFonts w:ascii="Arial" w:cs="Arial" w:eastAsia="Arial" w:hAnsi="Arial"/>
                <w:sz w:val="20"/>
                <w:szCs w:val="20"/>
              </w:rPr>
              <w:t xml:space="preserve">SC6</w:t>
            </w:r>
          </w:p>
        </w:tc>
        <w:tc>
          <w:tcPr>
            <w:tcW w:type="dxa" w:w="5826"/>
            <w:tcMar>
              <w:top w:type="dxa" w:w="60"/>
              <w:left w:type="dxa" w:w="100"/>
              <w:bottom w:type="dxa" w:w="60"/>
              <w:right w:type="dxa" w:w="100"/>
            </w:tcMar>
          </w:tcPr>
          <w:p>
            <w:r>
              <w:rPr>
                <w:rFonts w:ascii="Arial" w:cs="Arial" w:eastAsia="Arial" w:hAnsi="Arial"/>
                <w:sz w:val="20"/>
                <w:szCs w:val="20"/>
              </w:rPr>
              <w:t xml:space="preserve">Each transfer creates an auditable record: source, destination, size, checksum, timestamps, outcome</w:t>
            </w:r>
          </w:p>
        </w:tc>
        <w:tc>
          <w:tcPr>
            <w:tcW w:type="dxa" w:w="2500"/>
            <w:tcMar>
              <w:top w:type="dxa" w:w="60"/>
              <w:left w:type="dxa" w:w="100"/>
              <w:bottom w:type="dxa" w:w="60"/>
              <w:right w:type="dxa" w:w="100"/>
            </w:tcMar>
          </w:tcPr>
          <w:p>
            <w:r>
              <w:rPr>
                <w:rFonts w:ascii="Arial" w:cs="Arial" w:eastAsia="Arial" w:hAnsi="Arial"/>
                <w:sz w:val="20"/>
                <w:szCs w:val="20"/>
              </w:rPr>
              <w:t xml:space="preserve">P2, P3, P4, P6, P7, P8, P9</w:t>
            </w:r>
          </w:p>
        </w:tc>
      </w:tr>
    </w:tbl>
    <w:sectPr>
      <w:headerReference w:type="default" r:id="rId7"/>
      <w:footerReference w:type="default" r:id="rId8"/>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OFFICIAL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2026-09-16T21:29:23.160Z</dcterms:created>
  <dcterms:modified xsi:type="dcterms:W3CDTF">2026-09-16T21:29:23.168Z</dcterms:modified>
</cp:coreProperties>
</file>

<file path=docProps/custom.xml><?xml version="1.0" encoding="utf-8"?>
<Properties xmlns="http://schemas.openxmlformats.org/officeDocument/2006/custom-properties" xmlns:vt="http://schemas.openxmlformats.org/officeDocument/2006/docPropsVTypes"/>
</file>