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B5FFF"/>
          <w:sz w:val="20"/>
          <w:szCs w:val="20"/>
        </w:rPr>
        <w:t xml:space="preserve">INTELLIGRATOR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161C"/>
          <w:sz w:val="40"/>
          <w:szCs w:val="40"/>
        </w:rPr>
        <w:t xml:space="preserve">UI Screen Specification — Standard User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Self-Service MFT Provisioning on Boomi iPaaS · reproduced from wireframes</w:t>
      </w:r>
    </w:p>
    <w:p>
      <w:pPr>
        <w:spacing w:after="40" w:before="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Config-driven provisioning: one MFT engine process, each approved interface becomes one config row (never a new Boomi component). Sample data is illustrative.</w:t>
      </w:r>
    </w:p>
    <w:p>
      <w:pPr>
        <w:pBdr>
          <w:bottom w:val="single" w:color="0B5FFF" w:sz="6" w:space="6"/>
        </w:pBd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0B5FFF"/>
          <w:sz w:val="24"/>
          <w:szCs w:val="24"/>
        </w:rPr>
        <w:t xml:space="preserve">Screens at a glance</w:t>
      </w:r>
    </w:p>
    <w:tbl>
      <w:tblPr>
        <w:tblW w:type="dxa" w:w="9360"/>
        <w:tblBorders>
          <w:top w:val="single" w:color="DFE4EA" w:sz="4"/>
          <w:left w:val="single" w:color="DFE4EA" w:sz="4"/>
          <w:bottom w:val="single" w:color="DFE4EA" w:sz="4"/>
          <w:right w:val="single" w:color="DFE4EA" w:sz="4"/>
          <w:insideH w:val="single" w:color="DFE4EA" w:sz="4"/>
          <w:insideV w:val="single" w:color="DFE4EA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Screen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1 · Dashboard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Landing view: submitted requests + primary actions.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2 · Configure New File Transfer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Guided wizard to raise a new transfer request.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3 · Catalogue / History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Register of provisioned transfers + run history + ad-hoc runs.</w:t>
            </w:r>
          </w:p>
        </w:tc>
      </w:tr>
    </w:tbl>
    <w:p>
      <w:pPr>
        <w:pStyle w:val="Heading1"/>
        <w:spacing w:after="120" w:before="220"/>
      </w:pPr>
      <w:r>
        <w:rPr>
          <w:rFonts w:ascii="Calibri" w:cs="Calibri" w:eastAsia="Calibri" w:hAnsi="Calibri"/>
          <w:b/>
          <w:bCs/>
          <w:color w:val="12161C"/>
          <w:sz w:val="30"/>
          <w:szCs w:val="30"/>
        </w:rPr>
        <w:t xml:space="preserve">Screen 1 — Dashboard View (Standard User)</w:t>
      </w:r>
    </w:p>
    <w:p>
      <w:pPr>
        <w:spacing w:after="120" w:before="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The landing screen for a Standard User. A collapsible Submitted Requests tile sits at the top, with two primary action cards beneath it.</w:t>
      </w:r>
    </w:p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0B5FFF"/>
          <w:sz w:val="24"/>
          <w:szCs w:val="24"/>
        </w:rPr>
        <w:t xml:space="preserve">Elements</w:t>
      </w:r>
    </w:p>
    <w:tbl>
      <w:tblPr>
        <w:tblW w:type="dxa" w:w="9360"/>
        <w:tblBorders>
          <w:top w:val="single" w:color="DFE4EA" w:sz="4"/>
          <w:left w:val="single" w:color="DFE4EA" w:sz="4"/>
          <w:bottom w:val="single" w:color="DFE4EA" w:sz="4"/>
          <w:right w:val="single" w:color="DFE4EA" w:sz="4"/>
          <w:insideH w:val="single" w:color="DFE4EA" w:sz="4"/>
          <w:insideV w:val="single" w:color="DFE4EA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Element</w:t>
            </w:r>
          </w:p>
        </w:tc>
        <w:tc>
          <w:tcPr>
            <w:tcW w:type="dxa" w:w="646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Submitted Requests tile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Collapsible (chevron = “click to minimise tile”). Lists the signed-in user’s own requests.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Columns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Submitted On · Domain · Name · Current Status.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Status values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In Review → Approved → Provisioned (or Rejected).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Configure New File Transfer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Primary action → opens the Screen 2 wizard.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View Catalogue / History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Secondary action → opens Screen 3.</w:t>
            </w:r>
          </w:p>
        </w:tc>
      </w:tr>
    </w:tbl>
    <w:p>
      <w:r>
        <w:br w:type="page"/>
      </w:r>
    </w:p>
    <w:p>
      <w:pPr>
        <w:pStyle w:val="Heading1"/>
        <w:spacing w:after="120" w:before="220"/>
      </w:pPr>
      <w:r>
        <w:rPr>
          <w:rFonts w:ascii="Calibri" w:cs="Calibri" w:eastAsia="Calibri" w:hAnsi="Calibri"/>
          <w:b/>
          <w:bCs/>
          <w:color w:val="12161C"/>
          <w:sz w:val="30"/>
          <w:szCs w:val="30"/>
        </w:rPr>
        <w:t xml:space="preserve">Screen 2 — Configure New File Transfer (Wizard)</w:t>
      </w:r>
    </w:p>
    <w:p>
      <w:pPr>
        <w:spacing w:after="120" w:before="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“Submit a new file-transfer request.” A single guided form in five parts: requirement detail → connection detail (source + destination) → route check → file &amp; trigger detail → summary → submit.</w:t>
      </w:r>
    </w:p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0B5FFF"/>
          <w:sz w:val="24"/>
          <w:szCs w:val="24"/>
        </w:rPr>
        <w:t xml:space="preserve">1 · Requirement detail</w:t>
      </w:r>
    </w:p>
    <w:tbl>
      <w:tblPr>
        <w:tblW w:type="dxa" w:w="9360"/>
        <w:tblBorders>
          <w:top w:val="single" w:color="DFE4EA" w:sz="4"/>
          <w:left w:val="single" w:color="DFE4EA" w:sz="4"/>
          <w:bottom w:val="single" w:color="DFE4EA" w:sz="4"/>
          <w:right w:val="single" w:color="DFE4EA" w:sz="4"/>
          <w:insideH w:val="single" w:color="DFE4EA" w:sz="4"/>
          <w:insideV w:val="single" w:color="DFE4EA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Purpose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Free text, required. Why the transfer exists.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Business Value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Free text, required. The benefit delivered.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Business Domain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Dropdown (Customs, VAT, PAYE, SA …). Drives approval routing.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Point of Contact (PoC)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Auto-populated from the signed-in user; read-only.</w:t>
            </w:r>
          </w:p>
        </w:tc>
      </w:tr>
    </w:tbl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0B5FFF"/>
          <w:sz w:val="24"/>
          <w:szCs w:val="24"/>
        </w:rPr>
        <w:t xml:space="preserve">2 · Connection detail (Source &amp; Destination)</w:t>
      </w:r>
    </w:p>
    <w:p>
      <w:pPr>
        <w:spacing w:after="100" w:before="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Two symmetrical panels — one for Source, one for Destination — each ending in a Test Connection control.</w:t>
      </w:r>
    </w:p>
    <w:tbl>
      <w:tblPr>
        <w:tblW w:type="dxa" w:w="9360"/>
        <w:tblBorders>
          <w:top w:val="single" w:color="DFE4EA" w:sz="4"/>
          <w:left w:val="single" w:color="DFE4EA" w:sz="4"/>
          <w:bottom w:val="single" w:color="DFE4EA" w:sz="4"/>
          <w:right w:val="single" w:color="DFE4EA" w:sz="4"/>
          <w:insideH w:val="single" w:color="DFE4EA" w:sz="4"/>
          <w:insideV w:val="single" w:color="DFE4EA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Field</w:t>
            </w:r>
          </w:p>
        </w:tc>
        <w:tc>
          <w:tcPr>
            <w:tcW w:type="dxa" w:w="646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Type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Dropdown (SFTP, FTPS, Azure Blob, S3, local FS …).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Server · Port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Endpoint coordinates. Port defaults by type (SFTP 22, FTPS 21, HTTPS 443).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Credential — Username / Password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Stored as a secret reference, never plain text. Password masked.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Directory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Path on the endpoint.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Test Connection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Validates reachability + auth. Green tick = OK, red cross = Not OK. Submit is intended to require both sides green.</w:t>
            </w:r>
          </w:p>
        </w:tc>
      </w:tr>
    </w:tbl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0B5FFF"/>
          <w:sz w:val="24"/>
          <w:szCs w:val="24"/>
        </w:rPr>
        <w:t xml:space="preserve">Route check (between connection and file/trigger)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On proceeding, the wizard checks whether a route / interface already points to the chosen directory.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No existing route → proceed.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Existing route → show a warning before continuing (prevents duplicate provisioning).</w:t>
      </w:r>
    </w:p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0B5FFF"/>
          <w:sz w:val="24"/>
          <w:szCs w:val="24"/>
        </w:rPr>
        <w:t xml:space="preserve">3 · File &amp; trigger detail</w:t>
      </w:r>
    </w:p>
    <w:tbl>
      <w:tblPr>
        <w:tblW w:type="dxa" w:w="9360"/>
        <w:tblBorders>
          <w:top w:val="single" w:color="DFE4EA" w:sz="4"/>
          <w:left w:val="single" w:color="DFE4EA" w:sz="4"/>
          <w:bottom w:val="single" w:color="DFE4EA" w:sz="4"/>
          <w:right w:val="single" w:color="DFE4EA" w:sz="4"/>
          <w:insideH w:val="single" w:color="DFE4EA" w:sz="4"/>
          <w:insideV w:val="single" w:color="DFE4EA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Notes / validation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File Pattern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Glob (e.g. *.xml) selecting the files to move.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Schedule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Dropdown: Weekly · Daily · Ad hoc.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Frequency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Revealed by the schedule choice (Ad hoc = manual Run Now, no schedule).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Error Notification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Opt-in / Opt-out for failure alerts.</w:t>
            </w:r>
          </w:p>
        </w:tc>
      </w:tr>
    </w:tbl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0B5FFF"/>
          <w:sz w:val="24"/>
          <w:szCs w:val="24"/>
        </w:rPr>
        <w:t xml:space="preserve">4 · Summary &amp; submit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Read-only recap of every field above for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Submit raises the request; it then appears under Submitted Requests (Screen 1) as “In Review”.</w:t>
      </w:r>
    </w:p>
    <w:p>
      <w:r>
        <w:br w:type="page"/>
      </w:r>
    </w:p>
    <w:p>
      <w:pPr>
        <w:pStyle w:val="Heading1"/>
        <w:spacing w:after="120" w:before="220"/>
      </w:pPr>
      <w:r>
        <w:rPr>
          <w:rFonts w:ascii="Calibri" w:cs="Calibri" w:eastAsia="Calibri" w:hAnsi="Calibri"/>
          <w:b/>
          <w:bCs/>
          <w:color w:val="12161C"/>
          <w:sz w:val="30"/>
          <w:szCs w:val="30"/>
        </w:rPr>
        <w:t xml:space="preserve">Screen 3 — View File Transfer Catalogue / History</w:t>
      </w:r>
    </w:p>
    <w:p>
      <w:pPr>
        <w:spacing w:after="120" w:before="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A register of provisioned transfers with run history. Each row carries a Run Now action, enabled only when the trigger is Ad hoc.</w:t>
      </w:r>
    </w:p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0B5FFF"/>
          <w:sz w:val="24"/>
          <w:szCs w:val="24"/>
        </w:rPr>
        <w:t xml:space="preserve">Columns</w:t>
      </w:r>
    </w:p>
    <w:tbl>
      <w:tblPr>
        <w:tblW w:type="dxa" w:w="9360"/>
        <w:tblBorders>
          <w:top w:val="single" w:color="DFE4EA" w:sz="4"/>
          <w:left w:val="single" w:color="DFE4EA" w:sz="4"/>
          <w:bottom w:val="single" w:color="DFE4EA" w:sz="4"/>
          <w:right w:val="single" w:color="DFE4EA" w:sz="4"/>
          <w:insideH w:val="single" w:color="DFE4EA" w:sz="4"/>
          <w:insideV w:val="single" w:color="DFE4EA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Column</w:t>
            </w:r>
          </w:p>
        </w:tc>
        <w:tc>
          <w:tcPr>
            <w:tcW w:type="dxa" w:w="6460"/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Name / Description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Human-readable identifier and one-line purpose.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Domain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Owning business domain.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Source / Destination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Endpoint summary for each side.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Trigger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Weekly · Daily · Ad hoc — governs whether Run Now is enabled.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Last Run · Created On · Created By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Audit / history metadata.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161C"/>
                <w:sz w:val="19"/>
                <w:szCs w:val="19"/>
              </w:rPr>
              <w:t xml:space="preserve">Run Now</w:t>
            </w:r>
          </w:p>
        </w:tc>
        <w:tc>
          <w:tcPr>
            <w:tcW w:type="dxa" w:w="6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161C"/>
                <w:sz w:val="19"/>
                <w:szCs w:val="19"/>
              </w:rPr>
              <w:t xml:space="preserve">Enabled for Ad-hoc rows only. Fires the transfer and refreshes status in place.</w:t>
            </w:r>
          </w:p>
        </w:tc>
      </w:tr>
    </w:tbl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0B5FFF"/>
          <w:sz w:val="24"/>
          <w:szCs w:val="24"/>
        </w:rPr>
        <w:t xml:space="preserve">Editing the mockups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Source diagram: intelligrator-ui-screens.drawio — all three screens on one canvas.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Open at app.diagrams.net or draw.io Desktop; every element is a native, editable shape.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2161C"/>
          <w:sz w:val="21"/>
          <w:szCs w:val="21"/>
        </w:rPr>
        <w:t xml:space="preserve">For Microsoft Visio: draw.io → Extras → Export as → Visio (.vsdx), then open in Visio.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16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Intelligrator — UI Screen Specification (Standard User)</dc:title>
  <dc:creator>Integration Catalogue Bot</dc:creator>
  <cp:lastModifiedBy>Un-named</cp:lastModifiedBy>
  <cp:revision>1</cp:revision>
  <dcterms:created xsi:type="dcterms:W3CDTF">2026-07-17T11:45:00.968Z</dcterms:created>
  <dcterms:modified xsi:type="dcterms:W3CDTF">2026-07-17T11:45:00.976Z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