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Boomi MFT Platform: Overview, AFT and 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Status</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Draft v0.4 (draft), 22 October 2026</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Page owner</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Audience</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Architects, Boomi platform team, delivery teams, security and service management</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Child page</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MVP Solution</w:t>
            </w:r>
          </w:p>
        </w:tc>
      </w:tr>
      <w:tr>
        <w:tc>
          <w:tcPr>
            <w:tcW w:type="dxa" w:w="24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Change history</w:t>
            </w:r>
          </w:p>
        </w:tc>
        <w:tc>
          <w:tcPr>
            <w:tcW w:type="dxa" w:w="72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v0.1: sections 1 to 5 and gaps, principles, references. v0.2: adds section 6 (instances and environments), 7 (roles and access) and 8 (naming conventions). v0.3: expands section 6 with fuller site and instance descriptions. v0.4: Figure 4 redrawn from the role design note diagram to show role permissions</w:t>
            </w:r>
          </w:p>
        </w:tc>
      </w:tr>
    </w:tbl>
    <w:p>
      <w:pPr>
        <w:spacing w:after="60"/>
      </w:pPr>
    </w:p>
    <w:p>
      <w:pPr>
        <w:pStyle w:val="Heading1"/>
      </w:pPr>
      <w:r>
        <w:t xml:space="preserve">1. Purpose</w:t>
      </w:r>
    </w:p>
    <w:p>
      <w:pPr>
        <w:spacing w:after="120"/>
      </w:pPr>
      <w:r>
        <w:t xml:space="preserve">This page describes the Boomi Managed File Transfer (MFT) platform: its two applications, Automated File Transfer (AFT) and File Sharing (FS), the runtime that keeps internal transfers inside our network, how the platform is deployed on the programme, how environments and instances are organised, the roles and access given to product teams, the naming conventions, and the gaps and decisions that shape its use. The MVP is described on the child page, Boomi MFT MVP Solution.</w:t>
      </w:r>
    </w:p>
    <w:p>
      <w:pPr>
        <w:pStyle w:val="Heading1"/>
      </w:pPr>
      <w:r>
        <w:t xml:space="preserve">2. Platform at a glance</w:t>
      </w:r>
    </w:p>
    <w:p>
      <w:pPr>
        <w:spacing w:after="120"/>
      </w:pPr>
      <w:r>
        <w:t xml:space="preserve">Boomi MFT is a cloud-native managed file transfer service within the Boomi Enterprise Platform. It came from Boomi's acquisition of Thru Inc., announced in May 2025, so some screens, URLs and install paths still carry the Thru name. Boomi hosts the control plane, the portal and persistent file storage. We host the MFT Node runtime inside our network wherever files must stay internal.</w:t>
      </w:r>
    </w:p>
    <w:p>
      <w:pPr>
        <w:spacing w:after="120"/>
      </w:pPr>
      <w:r>
        <w:t xml:space="preserve">On the programme, Boomi MFT complements the incumbent file-transfer estate (ESDES and SDS). It is not a like-for-like replacement. New and migrated transfers are onboarded by configuration, not by building a new component for each interface.</w:t>
      </w:r>
    </w:p>
    <w:p>
      <w:pPr>
        <w:jc w:val="center"/>
      </w:pPr>
      <w:r>
        <w:drawing>
          <wp:inline distT="0" distB="0" distL="0" distR="0">
            <wp:extent cx="6096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543300"/>
                    </a:xfrm>
                    <a:prstGeom prst="rect">
                      <a:avLst/>
                    </a:prstGeom>
                  </pic:spPr>
                </pic:pic>
              </a:graphicData>
            </a:graphic>
          </wp:inline>
        </w:drawing>
      </w:r>
    </w:p>
    <w:p>
      <w:pPr>
        <w:spacing w:after="200"/>
        <w:jc w:val="center"/>
      </w:pPr>
      <w:r>
        <w:rPr>
          <w:i/>
          <w:iCs/>
          <w:color w:val="52606D"/>
          <w:sz w:val="18"/>
          <w:szCs w:val="18"/>
        </w:rPr>
        <w:t xml:space="preserve">Figure 1. Boomi MFT platform components, trust zones and data flows (source: boomi-mft-platform.drawio)</w:t>
      </w:r>
    </w:p>
    <w:p>
      <w:pPr>
        <w:pStyle w:val="Heading2"/>
      </w:pPr>
      <w:r>
        <w:t xml:space="preserve">2.1 Building blocks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2"/>
        <w:gridCol w:w="3517"/>
        <w:gridCol w:w="1823"/>
        <w:gridCol w:w="2976"/>
      </w:tblGrid>
      <w:tr>
        <w:trPr>
          <w:tblHeader/>
        </w:trPr>
        <w:tc>
          <w:tcPr>
            <w:tcW w:type="dxa" w:w="132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Component</w:t>
            </w:r>
          </w:p>
        </w:tc>
        <w:tc>
          <w:tcPr>
            <w:tcW w:type="dxa" w:w="351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is</w:t>
            </w:r>
          </w:p>
        </w:tc>
        <w:tc>
          <w:tcPr>
            <w:tcW w:type="dxa" w:w="182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Where it runs</w:t>
            </w:r>
          </w:p>
        </w:tc>
        <w:tc>
          <w:tcPr>
            <w:tcW w:type="dxa" w:w="297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Notes</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Control plane, admin portal, Flow Studio, activity tracking, alerting and persistent file storage</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Boomi-hosted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Files are held until delivered, which underpins guaranteed delivery and automatic retries.</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Automated File Transfer (AFT)</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System-to-system transfers built from Organizations, Endpoints and Flows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 with the MFT Node for internal endpoints</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Scheduled or API-triggered. See section 3.</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Sharing (FS)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Person-to-person sharing: web app, secure links, MFT Dropbox, Outlook, Office 365 and Salesforce add-ins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See section 4.</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(Local Node)</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Runtime agent installed on Windows or Linux inside our network</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Our AWS estate (EC2); Azure in design</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Outbound HTTPS only, token authenticated, orchestrated by the Cloud. See section 5.</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Server endpoints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FTPS (explicit mode only) and HTTPS servers hosted by MFT for partners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partner needs an MFT user to connect.</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APIs</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Management, Activity and File Sharing APIs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MFT Cloud</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Used for run-now triggers, status queries and self-service provisioning.</w:t>
            </w:r>
          </w:p>
        </w:tc>
      </w:tr>
      <w:tr>
        <w:tc>
          <w:tcPr>
            <w:tcW w:type="dxa" w:w="13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Connector</w:t>
            </w:r>
          </w:p>
        </w:tc>
        <w:tc>
          <w:tcPr>
            <w:tcW w:type="dxa" w:w="351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Integration connector that sends and receives files inside integration processes</w:t>
            </w:r>
          </w:p>
        </w:tc>
        <w:tc>
          <w:tcPr>
            <w:tcW w:type="dxa" w:w="182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Integration runtime</w:t>
            </w:r>
          </w:p>
        </w:tc>
        <w:tc>
          <w:tcPr>
            <w:tcW w:type="dxa" w:w="297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re-architected next-generation connector is on the Boomi Q3 2026 roadmap.</w:t>
            </w:r>
          </w:p>
        </w:tc>
      </w:tr>
    </w:tbl>
    <w:p>
      <w:pPr>
        <w:spacing w:after="60"/>
      </w:pPr>
    </w:p>
    <w:p>
      <w:pPr>
        <w:pStyle w:val="Heading1"/>
      </w:pPr>
      <w:r>
        <w:t xml:space="preserve">3. Automated File Transfer (AFT)</w:t>
      </w:r>
    </w:p>
    <w:p>
      <w:pPr>
        <w:spacing w:after="120"/>
      </w:pPr>
      <w:r>
        <w:t xml:space="preserve">AFT is managed file transfer as a service for system-to-system exchange. Boomi describes it with a postal model: participants drop off and pick up files, and the Flow decides where each file goes. Internal teams and systems use the same Flows to reach each other's endpoints.</w:t>
      </w:r>
    </w:p>
    <w:p>
      <w:pPr>
        <w:pStyle w:val="Heading2"/>
      </w:pPr>
      <w:r>
        <w:t xml:space="preserve">3.1 Concepts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971"/>
        <w:gridCol w:w="3167"/>
      </w:tblGrid>
      <w:tr>
        <w:trPr>
          <w:tblHeader/>
        </w:trPr>
        <w:tc>
          <w:tcPr>
            <w:tcW w:type="dxa" w:w="15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Concept</w:t>
            </w:r>
          </w:p>
        </w:tc>
        <w:tc>
          <w:tcPr>
            <w:tcW w:type="dxa" w:w="497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Meaning</w:t>
            </w:r>
          </w:p>
        </w:tc>
        <w:tc>
          <w:tcPr>
            <w:tcW w:type="dxa" w:w="316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Use on the programme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participant in file exchange: the enterprise, a partner, an internal team or a system. Once granted access, an Organization manages its own users and reusable endpoints.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Organization per business area or partner, created through the onboarding process.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source or target location. External endpoints: MFT connects out to a server with supplied credentials. MFT Server endpoints: MFT is the server and the partner logs in with an MFT user.</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are configuration rows. Credentials are held on the endpoint (gap G-14).</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file exchange process. Organizations subscribe by attaching source and target Flow Endpoints, with path mapping and settings.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small set of generic Flows per transfer type, not one build per interface.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Studio</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Browser tool to design Flows, attach Flow Endpoints and send a test file.</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Platform team and approved administrators.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and Alerts</w:t>
            </w:r>
          </w:p>
        </w:tc>
        <w:tc>
          <w:tcPr>
            <w:tcW w:type="dxa" w:w="49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screen and Activity API show the status of each transfer. The Alerts dashboard shows failed transfers to both enterprise and partner administrators.</w:t>
            </w:r>
          </w:p>
        </w:tc>
        <w:tc>
          <w:tcPr>
            <w:tcW w:type="dxa" w:w="316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Feeds operational monitoring and the MVP evidence pack.</w:t>
            </w:r>
          </w:p>
        </w:tc>
      </w:tr>
    </w:tbl>
    <w:p>
      <w:pPr>
        <w:spacing w:after="60"/>
      </w:pPr>
    </w:p>
    <w:p>
      <w:pPr>
        <w:pStyle w:val="Heading2"/>
      </w:pPr>
      <w:r>
        <w:t xml:space="preserve">3.2 Endpoint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9"/>
        <w:gridCol w:w="7629"/>
      </w:tblGrid>
      <w:tr>
        <w:trPr>
          <w:tblHeader/>
        </w:trPr>
        <w:tc>
          <w:tcPr>
            <w:tcW w:type="dxa" w:w="200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Endpoint type</w:t>
            </w:r>
          </w:p>
        </w:tc>
        <w:tc>
          <w:tcPr>
            <w:tcW w:type="dxa" w:w="76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Typical use</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SFTP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pushes or pulls files over SFTP to a server hosted by MFT</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FTPS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As above over FTPS; explicit mode only</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HTTPS</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Upload and download over HTTPS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SFTP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connects to a partner or SaaS SFTP server, for example a Pega landing zone</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FTPS Server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connects to a partner FTPS server</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Share / MFT Node</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Local folders and LAN shares reached through an MFT Node (not the File Sharing application)</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Amazon S3</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S3 buckets; internal buckets are reached through the MFT Node in our design</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Blob</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Blob containers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Files</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Azure file shares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Google Cloud Storage</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GCS buckets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SharePoint</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SharePoint document libraries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Managed File Transfer Connector</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Hand-off to and from Boomi Integration processes</w:t>
            </w:r>
          </w:p>
        </w:tc>
      </w:tr>
      <w:tr>
        <w:tc>
          <w:tcPr>
            <w:tcW w:type="dxa" w:w="200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File Sharing</w:t>
            </w:r>
          </w:p>
        </w:tc>
        <w:tc>
          <w:tcPr>
            <w:tcW w:type="dxa" w:w="76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Hand-off between AFT Flows and File Sharing folders</w:t>
            </w:r>
          </w:p>
        </w:tc>
      </w:tr>
    </w:tbl>
    <w:p>
      <w:pPr>
        <w:spacing w:after="60"/>
      </w:pPr>
    </w:p>
    <w:p>
      <w:pPr>
        <w:pBdr>
          <w:left w:val="single" w:color="7A5A00" w:sz="24" w:space="6"/>
        </w:pBdr>
        <w:shd w:fill="FDF3D6" w:color="auto" w:val="clear"/>
        <w:spacing w:after="160" w:before="80"/>
      </w:pPr>
      <w:r>
        <w:rPr>
          <w:sz w:val="20"/>
          <w:szCs w:val="20"/>
        </w:rPr>
        <w:t xml:space="preserve">New endpoint types can be requested through Boomi Support.</w:t>
      </w:r>
    </w:p>
    <w:p>
      <w:pPr>
        <w:pStyle w:val="Heading2"/>
      </w:pPr>
      <w:r>
        <w:t xml:space="preserve">3.3 Key capabilities</w:t>
      </w:r>
    </w:p>
    <w:p>
      <w:pPr>
        <w:pStyle w:val="ListParagraph"/>
        <w:numPr>
          <w:ilvl w:val="0"/>
          <w:numId w:val="2"/>
        </w:numPr>
      </w:pPr>
      <w:r>
        <w:t xml:space="preserve">Triggering: schedules on source Flow Endpoints (four frequency options), or an API call that runs a Flow Endpoint now when an upstream event says files are ready.</w:t>
      </w:r>
    </w:p>
    <w:p>
      <w:pPr>
        <w:pStyle w:val="ListParagraph"/>
        <w:numPr>
          <w:ilvl w:val="0"/>
          <w:numId w:val="2"/>
        </w:numPr>
      </w:pPr>
      <w:r>
        <w:t xml:space="preserve">Guaranteed delivery: files persist in MFT storage until delivered, Flow state survives retries, and failed transfers retry automatically.</w:t>
      </w:r>
    </w:p>
    <w:p>
      <w:pPr>
        <w:pStyle w:val="ListParagraph"/>
        <w:numPr>
          <w:ilvl w:val="0"/>
          <w:numId w:val="2"/>
        </w:numPr>
      </w:pPr>
      <w:r>
        <w:t xml:space="preserve">Fan-out: a Flow can have many subscribers. If one subscriber or endpoint is disabled, the Flow still runs for the others.</w:t>
      </w:r>
    </w:p>
    <w:p>
      <w:pPr>
        <w:pStyle w:val="ListParagraph"/>
        <w:numPr>
          <w:ilvl w:val="0"/>
          <w:numId w:val="2"/>
        </w:numPr>
      </w:pPr>
      <w:r>
        <w:t xml:space="preserve">Hybrid execution: external endpoints can be served by the Cloud or by an MFT Node (Node Direct). With Node Direct, connections start from the Node's IP addresses, so partners must allow-list those.</w:t>
      </w:r>
    </w:p>
    <w:p>
      <w:pPr>
        <w:pStyle w:val="ListParagraph"/>
        <w:numPr>
          <w:ilvl w:val="0"/>
          <w:numId w:val="2"/>
        </w:numPr>
      </w:pPr>
      <w:r>
        <w:t xml:space="preserve">Concurrency: transfer concurrency is set per Flow Endpoint and the Node follows that setting.</w:t>
      </w:r>
    </w:p>
    <w:p>
      <w:pPr>
        <w:pStyle w:val="ListParagraph"/>
        <w:numPr>
          <w:ilvl w:val="0"/>
          <w:numId w:val="2"/>
        </w:numPr>
      </w:pPr>
      <w:r>
        <w:t xml:space="preserve">Visibility: Activity screen and API, alert emails per Node and per Flow, and audit history.</w:t>
      </w:r>
    </w:p>
    <w:p>
      <w:pPr>
        <w:pStyle w:val="ListParagraph"/>
        <w:numPr>
          <w:ilvl w:val="0"/>
          <w:numId w:val="2"/>
        </w:numPr>
      </w:pPr>
      <w:r>
        <w:t xml:space="preserve">Integration: the MFT Connector and APIs let Boomi Integration processes and API Management start or consume transfers.</w:t>
      </w:r>
    </w:p>
    <w:p>
      <w:pPr>
        <w:pBdr>
          <w:left w:val="single" w:color="7A5A00" w:sz="24" w:space="6"/>
        </w:pBdr>
        <w:shd w:fill="FDF3D6" w:color="auto" w:val="clear"/>
        <w:spacing w:after="160" w:before="80"/>
      </w:pPr>
      <w:r>
        <w:rPr>
          <w:sz w:val="20"/>
          <w:szCs w:val="20"/>
        </w:rPr>
        <w:t xml:space="preserve">Operational caution: when an Organization endpoint changes (for example a password or key rotation), the change must be carried to every Flow that uses it. Plan credential rotation with this in mind (G-14).</w:t>
      </w:r>
    </w:p>
    <w:p>
      <w:pPr>
        <w:pStyle w:val="Heading2"/>
      </w:pPr>
      <w:r>
        <w:t xml:space="preserve">3.4 Roadmap items to confirm</w:t>
      </w:r>
    </w:p>
    <w:p>
      <w:pPr>
        <w:spacing w:after="120"/>
      </w:pPr>
      <w:r>
        <w:t xml:space="preserve">These items are on the Boomi Q3 2026 product roadmap. They are not assumed in our design until Boomi confirms them for our tenant.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502"/>
        <w:gridCol w:w="4136"/>
      </w:tblGrid>
      <w:tr>
        <w:trPr>
          <w:tblHeader/>
        </w:trPr>
        <w:tc>
          <w:tcPr>
            <w:tcW w:type="dxa" w:w="550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Roadmap item</w:t>
            </w:r>
          </w:p>
        </w:tc>
        <w:tc>
          <w:tcPr>
            <w:tcW w:type="dxa" w:w="413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Relevance to the programme</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scanning on the Windows MFT runtime using Microsoft Defender, holding each file until a passed, quarantined or error result is reported to the control plane</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Could replace the custom MDE scan step and report AV status centrally. Does not by itself remove the size limit (G-15).</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External command on the MFT runtime after download from the Cloud and before delivery to the target</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Hook for checksum checks, decryption or local processing.</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metadata tags (for example data class or encryption) carried into the Activity API, screens and logs</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Supports data classification reporting and audit.</w:t>
            </w:r>
          </w:p>
        </w:tc>
      </w:tr>
      <w:tr>
        <w:tc>
          <w:tcPr>
            <w:tcW w:type="dxa" w:w="550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Next-generation MFT Connector</w:t>
            </w:r>
          </w:p>
        </w:tc>
        <w:tc>
          <w:tcPr>
            <w:tcW w:type="dxa" w:w="41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Affects Boomi Integration processes that move files.</w:t>
            </w:r>
          </w:p>
        </w:tc>
      </w:tr>
    </w:tbl>
    <w:p>
      <w:pPr>
        <w:spacing w:after="60"/>
      </w:pPr>
    </w:p>
    <w:p>
      <w:pPr>
        <w:pStyle w:val="Heading1"/>
      </w:pPr>
      <w:r>
        <w:t xml:space="preserve">4. File Sharing (FS)</w:t>
      </w:r>
    </w:p>
    <w:p>
      <w:pPr>
        <w:spacing w:after="120"/>
      </w:pPr>
      <w:r>
        <w:t xml:space="preserve">FS is the person-to-person side of Boomi MFT: a managed, virtualised file system for sharing large files with internal teams and external parties, with the policy controls and audit that email attachments and consumer file-sharing tools lack.</w:t>
      </w:r>
    </w:p>
    <w:p>
      <w:pPr>
        <w:pStyle w:val="Heading2"/>
      </w:pPr>
      <w:r>
        <w:t xml:space="preserve">4.1 Capabilities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3"/>
        <w:gridCol w:w="8085"/>
      </w:tblGrid>
      <w:tr>
        <w:trPr>
          <w:tblHeader/>
        </w:trPr>
        <w:tc>
          <w:tcPr>
            <w:tcW w:type="dxa" w:w="155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Capability</w:t>
            </w:r>
          </w:p>
        </w:tc>
        <w:tc>
          <w:tcPr>
            <w:tcW w:type="dxa" w:w="80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Description</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Web application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Browse, upload, download and share files and folders from any browser, including mobile browsers. Access is set per folder and per member.</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Secure send</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files or folders of any size as a link. Policies can require the recipient to log in, set link expiry and confirm delivery.</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Dropbox</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link that lets people without an MFT account upload files into a user's Dropbox folder. The owner gets an email when files arrive. The URL can be customised.</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Outlook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large attachments as secure links from Outlook. The side panel uploads, downloads and files emails into MFT folders. Installs MFT Explorer for desktop access.</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Office 365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Open, edit and save Word, Excel and PowerPoint files held in MFT.</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Salesforce add-in</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Send files from Salesforce securely. Needs an API-enabled Salesforce org (Enterprise edition or above).</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Mobile</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iOS app to open and edit files.</w:t>
            </w:r>
          </w:p>
        </w:tc>
      </w:tr>
      <w:tr>
        <w:tc>
          <w:tcPr>
            <w:tcW w:type="dxa" w:w="155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APIs and AFT hand-off</w:t>
            </w:r>
          </w:p>
        </w:tc>
        <w:tc>
          <w:tcPr>
            <w:tcW w:type="dxa" w:w="80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APIs support automation. The MFT File Sharing endpoint type lets AFT Flows pick up from or drop into FS folders.</w:t>
            </w:r>
          </w:p>
        </w:tc>
      </w:tr>
    </w:tbl>
    <w:p>
      <w:pPr>
        <w:spacing w:after="60"/>
      </w:pPr>
    </w:p>
    <w:p>
      <w:pPr>
        <w:pStyle w:val="Heading2"/>
      </w:pPr>
      <w:r>
        <w:t xml:space="preserve">4.2 AFT and FS compared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0"/>
        <w:gridCol w:w="4193"/>
        <w:gridCol w:w="4155"/>
      </w:tblGrid>
      <w:tr>
        <w:trPr>
          <w:tblHeader/>
        </w:trPr>
        <w:tc>
          <w:tcPr>
            <w:tcW w:type="dxa" w:w="12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Aspect</w:t>
            </w:r>
          </w:p>
        </w:tc>
        <w:tc>
          <w:tcPr>
            <w:tcW w:type="dxa" w:w="419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Automated File Transfer (AFT)</w:t>
            </w:r>
          </w:p>
        </w:tc>
        <w:tc>
          <w:tcPr>
            <w:tcW w:type="dxa" w:w="415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File Sharing (FS)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Purpose</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System-to-system, repeatable transfers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Person-to-person, ad hoc sharing</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Users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Platform team, partner and system administrators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Staff, agents, citizens, external stakeholders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Trigger</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 API run-now, file arrival</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user sends, shares or uploads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Interfaces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Studio, protocol endpoints, Activity API, MFT Connector</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Web app, Dropbox links, Outlook, Office 365, Salesforce, mobile, FS APIs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Controls</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credentials, Flow settings, retries, alerts</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Login on download, link expiry, folder permissions, notifications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Example</w:t>
            </w:r>
          </w:p>
        </w:tc>
        <w:tc>
          <w:tcPr>
            <w:tcW w:type="dxa" w:w="419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Scheduled feed from an internal S3 bucket to a partner SFTP server</w:t>
            </w:r>
          </w:p>
        </w:tc>
        <w:tc>
          <w:tcPr>
            <w:tcW w:type="dxa" w:w="41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citizen uploads evidence through a Dropbox link</w:t>
            </w:r>
          </w:p>
        </w:tc>
      </w:tr>
    </w:tbl>
    <w:p>
      <w:pPr>
        <w:spacing w:after="60"/>
      </w:pPr>
    </w:p>
    <w:p>
      <w:pPr>
        <w:pBdr>
          <w:left w:val="single" w:color="7A5A00" w:sz="24" w:space="6"/>
        </w:pBdr>
        <w:shd w:fill="FDF3D6" w:color="auto" w:val="clear"/>
        <w:spacing w:after="160" w:before="80"/>
      </w:pPr>
      <w:r>
        <w:rPr>
          <w:sz w:val="20"/>
          <w:szCs w:val="20"/>
        </w:rPr>
        <w:t xml:space="preserve">Naming trap: the AFT "File Share" endpoint type is a LAN network share reached through an MFT Node. It is unrelated to the File Sharing (FS) application. Write "File Share endpoint" and "File Sharing (FS)" in full in all material.</w:t>
      </w:r>
    </w:p>
    <w:p>
      <w:pPr>
        <w:pStyle w:val="Heading2"/>
      </w:pPr>
      <w:r>
        <w:t xml:space="preserve">4.3 FS on the programme</w:t>
      </w:r>
    </w:p>
    <w:p>
      <w:pPr>
        <w:spacing w:after="120"/>
      </w:pPr>
      <w:r>
        <w:t xml:space="preserve">The FS capability design covers two use cases: citizens uploading and downloading through MFT Dropbox links, and agents creating dynamic links from within SMIC. FS is not part of the MVP. Six decisions are open and need named owners before FS is offered to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6229"/>
        <w:gridCol w:w="2434"/>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2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43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D-FS-01</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Dropbox posture for citizens: public link, or protected by registration or login</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D-FS-02</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Dynamic link policy for agents: who can create links, expiry, login requirement and download limits</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 with 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D-FS-03</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 ceiling for citizen uploads and the behaviour for files above it (G-15)</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D-FS-04</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Treatment of the absence of native DLP on the citizen channel</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D-FS-05</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Retention and data protection lifecycle for shared files and links, covered by the DPIA</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Protection Officer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D-FS-06</w:t>
            </w:r>
          </w:p>
        </w:tc>
        <w:tc>
          <w:tcPr>
            <w:tcW w:type="dxa" w:w="62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 terminology for FS features in user-facing and design material</w:t>
            </w:r>
          </w:p>
        </w:tc>
        <w:tc>
          <w:tcPr>
            <w:tcW w:type="dxa" w:w="243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bl>
    <w:p>
      <w:pPr>
        <w:spacing w:after="60"/>
      </w:pPr>
    </w:p>
    <w:p>
      <w:pPr>
        <w:pStyle w:val="Heading1"/>
      </w:pPr>
      <w:r>
        <w:t xml:space="preserve">5. Deployment on the programme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1"/>
        <w:gridCol w:w="8057"/>
      </w:tblGrid>
      <w:tr>
        <w:trPr>
          <w:tblHeader/>
        </w:trPr>
        <w:tc>
          <w:tcPr>
            <w:tcW w:type="dxa" w:w="158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Area</w:t>
            </w:r>
          </w:p>
        </w:tc>
        <w:tc>
          <w:tcPr>
            <w:tcW w:type="dxa" w:w="805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Position</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Environments and instances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Four environments (dev, test, pre-prod, prod), each a separate site with its own vanity DNS name (CNAME to the Boomi MFT host), each hosting three instances. See section 6.</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Runtime</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on EC2 in the internal AWS estate for internal endpoints (S3, file shares). A clustered Node layer across three availability zones, on AWS with EFS and on Azure with Azure Files, behind a load balancer, is in design.</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Connectivity</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Node connects out to the Cloud over HTTPS with token authentication and pulls its configuration by polling. Nothing is opened inbound to the internal network. Partner and SaaS allow-lists must include Boomi Cloud egress IPs, or Node IPs where Node Direct is used.</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Protocols at the edge</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and FTPS cannot be proxied by HTTP-aware load balancers. FTPS needs multi-channel persistence, TLS termination loses client identity, and source NAT breaks IP allow-lists. Run a proving exercise before committing delivery dates.</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Antivirus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Windows MDE scan on the internal route, limit about 250 MB (G-15). Files above the limit need an explicit design and are never released unscanned.</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Node operations</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Node caches files locally; Boomi guidance allows up to 1 TB for high volumes or large files. It checks for updates every 15 minutes. Deleting a Node in the portal uninstalls it at its next check. Windows installs run as a scheduled task; Linux uses systemd or crontab.</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Onboarding</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Intelligrator self-service portal: an approved request becomes a configuration row consumed by one generic engine, not a new build per interface.</w:t>
            </w:r>
          </w:p>
        </w:tc>
      </w:tr>
      <w:tr>
        <w:tc>
          <w:tcPr>
            <w:tcW w:type="dxa" w:w="158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Current consumer</w:t>
            </w:r>
          </w:p>
        </w:tc>
        <w:tc>
          <w:tcPr>
            <w:tcW w:type="dxa" w:w="805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SDEC uses MFT transient storage for document upload through presigned URLs, with platform enhancements for document status and delete (SDEC-MFT-API-01 to 03).</w:t>
            </w:r>
          </w:p>
        </w:tc>
      </w:tr>
    </w:tbl>
    <w:p>
      <w:pPr>
        <w:spacing w:after="60"/>
      </w:pPr>
    </w:p>
    <w:p>
      <w:pPr>
        <w:pStyle w:val="Heading1"/>
      </w:pPr>
      <w:r>
        <w:t xml:space="preserve">6. Instances and environments</w:t>
      </w:r>
    </w:p>
    <w:p>
      <w:pPr>
        <w:spacing w:after="120"/>
      </w:pPr>
      <w:r>
        <w:t xml:space="preserve">Boomi MFT separates work at four levels: site, instance, organization, and the endpoints, users and machine users inside an organization. This section covers the first two. Organizations and roles are covered in section 7.</w:t>
      </w:r>
    </w:p>
    <w:p>
      <w:pPr>
        <w:jc w:val="center"/>
      </w:pPr>
      <w:r>
        <w:drawing>
          <wp:inline distT="0" distB="0" distL="0" distR="0">
            <wp:extent cx="6096000" cy="4267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4267200"/>
                    </a:xfrm>
                    <a:prstGeom prst="rect">
                      <a:avLst/>
                    </a:prstGeom>
                  </pic:spPr>
                </pic:pic>
              </a:graphicData>
            </a:graphic>
          </wp:inline>
        </w:drawing>
      </w:r>
    </w:p>
    <w:p>
      <w:pPr>
        <w:spacing w:after="200"/>
        <w:jc w:val="center"/>
      </w:pPr>
      <w:r>
        <w:rPr>
          <w:i/>
          <w:iCs/>
          <w:color w:val="52606D"/>
          <w:sz w:val="18"/>
          <w:szCs w:val="18"/>
        </w:rPr>
        <w:t xml:space="preserve">Figure 3. Environments, instances and the isolation model inside one instance (source: boomi-mft-environments-instances.drawio)</w:t>
      </w:r>
    </w:p>
    <w:p>
      <w:pPr>
        <w:pStyle w:val="Heading2"/>
      </w:pPr>
      <w:r>
        <w:t xml:space="preserve">6.1 Site</w:t>
      </w:r>
    </w:p>
    <w:p>
      <w:pPr>
        <w:spacing w:after="120"/>
      </w:pPr>
      <w:r>
        <w:t xml:space="preserve">A site is one regional deployment of Boomi MFT, addressed by a single base URL, that can host one or many instances. Everything people and systems do in MFT starts from that URL: signing in to the portal, connecting to the SFTP, FTPS and HTTPS servers that MFT hosts, opening File Sharing links and Dropbox pages, calling the MFT APIs, and MFT Nodes connecting back to the cloud.</w:t>
      </w:r>
    </w:p>
    <w:p>
      <w:pPr>
        <w:pStyle w:val="ListParagraph"/>
        <w:numPr>
          <w:ilvl w:val="0"/>
          <w:numId w:val="2"/>
        </w:numPr>
      </w:pPr>
      <w:r>
        <w:t xml:space="preserve">Base URL: Boomi provides a default address for each site. We publish a vanity name instead (a CNAME in our DNS that points to the Boomi host), so users, partners and runbooks use an address we control.</w:t>
      </w:r>
    </w:p>
    <w:p>
      <w:pPr>
        <w:pStyle w:val="ListParagraph"/>
        <w:numPr>
          <w:ilvl w:val="0"/>
          <w:numId w:val="2"/>
        </w:numPr>
      </w:pPr>
      <w:r>
        <w:t xml:space="preserve">Region: the site's region decides where Boomi runs the service and holds files in transit. The region for each of our sites is to be confirmed with Boomi (D-ENV-05).</w:t>
      </w:r>
    </w:p>
    <w:p>
      <w:pPr>
        <w:pStyle w:val="ListParagraph"/>
        <w:numPr>
          <w:ilvl w:val="0"/>
          <w:numId w:val="2"/>
        </w:numPr>
      </w:pPr>
      <w:r>
        <w:t xml:space="preserve">Network: partner allow-lists and our outbound firewall rules for MFT Nodes are set per site. A rule written for the dev site does not open access to the prod site.</w:t>
      </w:r>
    </w:p>
    <w:p>
      <w:pPr>
        <w:pStyle w:val="ListParagraph"/>
        <w:numPr>
          <w:ilvl w:val="0"/>
          <w:numId w:val="2"/>
        </w:numPr>
      </w:pPr>
      <w:r>
        <w:t xml:space="preserve">Shared, not mixed: instances on the same site share the base URL and the Boomi-managed infrastructure behind it, and nothing else.</w:t>
      </w:r>
    </w:p>
    <w:p>
      <w:pPr>
        <w:pStyle w:val="ListParagraph"/>
        <w:numPr>
          <w:ilvl w:val="0"/>
          <w:numId w:val="2"/>
        </w:numPr>
      </w:pPr>
      <w:r>
        <w:t xml:space="preserve">Settings: which settings sit at site level and which at instance level (for example sign-in and SSO, password policy, branding, IP restrictions) is to be confirmed with Boomi (D-ENV-06).</w:t>
      </w:r>
    </w:p>
    <w:p>
      <w:pPr>
        <w:spacing w:after="120"/>
      </w:pPr>
      <w:r>
        <w:t xml:space="preserve">On the programme each AFT environment is its own site with its own link: development, test, pre-production and production. A change made on the development site cannot affect the other three.</w:t>
      </w:r>
    </w:p>
    <w:p>
      <w:pPr>
        <w:pStyle w:val="Heading2"/>
      </w:pPr>
      <w:r>
        <w:t xml:space="preserve">6.2 Instance</w:t>
      </w:r>
    </w:p>
    <w:p>
      <w:pPr>
        <w:spacing w:after="120"/>
      </w:pPr>
      <w:r>
        <w:t xml:space="preserve">An instance is a logically isolated tenant inside a site. It cannot see or touch another instance's data, configuration or users, even when both instances sit on the same site and share its base URL.</w:t>
      </w:r>
    </w:p>
    <w:p>
      <w:pPr>
        <w:spacing w:after="120"/>
      </w:pPr>
      <w:r>
        <w:t xml:space="preserve">Each instance holds its own:</w:t>
      </w:r>
    </w:p>
    <w:p>
      <w:pPr>
        <w:pStyle w:val="ListParagraph"/>
        <w:numPr>
          <w:ilvl w:val="0"/>
          <w:numId w:val="2"/>
        </w:numPr>
      </w:pPr>
      <w:r>
        <w:t xml:space="preserve">organizations, and the endpoints, flows, users and machine users inside them</w:t>
      </w:r>
    </w:p>
    <w:p>
      <w:pPr>
        <w:pStyle w:val="ListParagraph"/>
        <w:numPr>
          <w:ilvl w:val="0"/>
          <w:numId w:val="2"/>
        </w:numPr>
      </w:pPr>
      <w:r>
        <w:t xml:space="preserve">PGP and SSH keys and certificates</w:t>
      </w:r>
    </w:p>
    <w:p>
      <w:pPr>
        <w:pStyle w:val="ListParagraph"/>
        <w:numPr>
          <w:ilvl w:val="0"/>
          <w:numId w:val="2"/>
        </w:numPr>
      </w:pPr>
      <w:r>
        <w:t xml:space="preserve">MFT Nodes, each set up to connect to one instance (to confirm with Boomi, D-ENV-02)</w:t>
      </w:r>
    </w:p>
    <w:p>
      <w:pPr>
        <w:pStyle w:val="ListParagraph"/>
        <w:numPr>
          <w:ilvl w:val="0"/>
          <w:numId w:val="2"/>
        </w:numPr>
      </w:pPr>
      <w:r>
        <w:t xml:space="preserve">activity history, alerts and audit records</w:t>
      </w:r>
    </w:p>
    <w:p>
      <w:pPr>
        <w:pStyle w:val="ListParagraph"/>
        <w:numPr>
          <w:ilvl w:val="0"/>
          <w:numId w:val="2"/>
        </w:numPr>
      </w:pPr>
      <w:r>
        <w:t xml:space="preserve">administrators, who manage only that instance</w:t>
      </w:r>
    </w:p>
    <w:p>
      <w:pPr>
        <w:spacing w:after="120"/>
      </w:pPr>
      <w:r>
        <w:t xml:space="preserve">What isolation means in practice:</w:t>
      </w:r>
    </w:p>
    <w:p>
      <w:pPr>
        <w:pStyle w:val="ListParagraph"/>
        <w:numPr>
          <w:ilvl w:val="0"/>
          <w:numId w:val="2"/>
        </w:numPr>
      </w:pPr>
      <w:r>
        <w:t xml:space="preserve">A flow can only use endpoints of organizations in the same instance. A transfer between business areas in different instances needs a location both can reach and a flow in each instance (D-ENV-01).</w:t>
      </w:r>
    </w:p>
    <w:p>
      <w:pPr>
        <w:pStyle w:val="ListParagraph"/>
        <w:numPr>
          <w:ilvl w:val="0"/>
          <w:numId w:val="2"/>
        </w:numPr>
      </w:pPr>
      <w:r>
        <w:t xml:space="preserve">Endpoints and keys are not shared across instances. A partner that exchanges files with two business areas is set up in each instance.</w:t>
      </w:r>
    </w:p>
    <w:p>
      <w:pPr>
        <w:pStyle w:val="ListParagraph"/>
        <w:numPr>
          <w:ilvl w:val="0"/>
          <w:numId w:val="2"/>
        </w:numPr>
      </w:pPr>
      <w:r>
        <w:t xml:space="preserve">User access is granted per instance. A person working in two business areas needs access in both.</w:t>
      </w:r>
    </w:p>
    <w:p>
      <w:pPr>
        <w:pStyle w:val="ListParagraph"/>
        <w:numPr>
          <w:ilvl w:val="0"/>
          <w:numId w:val="2"/>
        </w:numPr>
      </w:pPr>
      <w:r>
        <w:t xml:space="preserve">Each instance needs its own MFT Nodes in every environment where it reaches internal endpoints (D-ENV-02).</w:t>
      </w:r>
    </w:p>
    <w:p>
      <w:pPr>
        <w:pStyle w:val="ListParagraph"/>
        <w:numPr>
          <w:ilvl w:val="0"/>
          <w:numId w:val="2"/>
        </w:numPr>
      </w:pPr>
      <w:r>
        <w:t xml:space="preserve">An incident, misconfiguration or compromised account in one instance cannot reach the files or settings of another.</w:t>
      </w:r>
    </w:p>
    <w:p>
      <w:pPr>
        <w:pStyle w:val="ListParagraph"/>
        <w:numPr>
          <w:ilvl w:val="0"/>
          <w:numId w:val="2"/>
        </w:numPr>
      </w:pPr>
      <w:r>
        <w:t xml:space="preserve">Reporting and audit are per instance, so each business area can evidence its own transfers.</w:t>
      </w:r>
    </w:p>
    <w:p>
      <w:pPr>
        <w:pStyle w:val="Heading2"/>
      </w:pPr>
      <w:r>
        <w:t xml:space="preserve">6.3 Our instances</w:t>
      </w:r>
    </w:p>
    <w:p>
      <w:pPr>
        <w:spacing w:after="120"/>
      </w:pPr>
      <w:r>
        <w:t xml:space="preserve">We have three instances, one per business area. The same three instances exist on every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5"/>
        <w:gridCol w:w="765"/>
        <w:gridCol w:w="7688"/>
      </w:tblGrid>
      <w:tr>
        <w:trPr>
          <w:tblHeader/>
        </w:trPr>
        <w:tc>
          <w:tcPr>
            <w:tcW w:type="dxa" w:w="11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Instance</w:t>
            </w:r>
          </w:p>
        </w:tc>
        <w:tc>
          <w:tcPr>
            <w:tcW w:type="dxa" w:w="7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Code used in names</w:t>
            </w:r>
          </w:p>
        </w:tc>
        <w:tc>
          <w:tcPr>
            <w:tcW w:type="dxa" w:w="768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Covers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tax services, their product teams and partners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Valuation Office</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VOA</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property valuation services, their product teams and partners</w:t>
            </w:r>
          </w:p>
        </w:tc>
      </w:tr>
      <w:tr>
        <w:tc>
          <w:tcPr>
            <w:tcW w:type="dxa" w:w="1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Borders and Trade</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BDT</w:t>
            </w:r>
          </w:p>
        </w:tc>
        <w:tc>
          <w:tcPr>
            <w:tcW w:type="dxa" w:w="76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transfers for customs, borders and trade services, their product teams and partners</w:t>
            </w:r>
          </w:p>
        </w:tc>
      </w:tr>
    </w:tbl>
    <w:p>
      <w:pPr>
        <w:spacing w:after="60"/>
      </w:pPr>
    </w:p>
    <w:p>
      <w:pPr>
        <w:pStyle w:val="Heading2"/>
      </w:pPr>
      <w:r>
        <w:t xml:space="preserve">6.4 Environments</w:t>
      </w:r>
    </w:p>
    <w:p>
      <w:pPr>
        <w:spacing w:after="120"/>
      </w:pPr>
      <w:r>
        <w:t xml:space="preserve">There are four environments for AFT. Each is a separate site hosting the three instances, which gives 12 instances in total. Tax in development and Tax in production are separate instances that share nothing; configuration moves between them only by promotion.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0"/>
        <w:gridCol w:w="1943"/>
        <w:gridCol w:w="2121"/>
        <w:gridCol w:w="1890"/>
        <w:gridCol w:w="1974"/>
      </w:tblGrid>
      <w:tr>
        <w:trPr>
          <w:tblHeader/>
        </w:trPr>
        <w:tc>
          <w:tcPr>
            <w:tcW w:type="dxa" w:w="171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Environment</w:t>
            </w:r>
          </w:p>
        </w:tc>
        <w:tc>
          <w:tcPr>
            <w:tcW w:type="dxa" w:w="194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Site base URL (proposed)</w:t>
            </w:r>
          </w:p>
        </w:tc>
        <w:tc>
          <w:tcPr>
            <w:tcW w:type="dxa" w:w="212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Purpose</w:t>
            </w:r>
          </w:p>
        </w:tc>
        <w:tc>
          <w:tcPr>
            <w:tcW w:type="dxa" w:w="18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Data allowed</w:t>
            </w:r>
          </w:p>
        </w:tc>
        <w:tc>
          <w:tcPr>
            <w:tcW w:type="dxa" w:w="197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How configuration changes</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Development</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 and unit test flows. Product teams self-serve.</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Synthetic only</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Built by the product team's Standard_Admin and Standard_User</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Test</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mft-tst.&lt;domain&gt;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System and integration testing, partner connectivity tests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Synthetic or masked</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Promoted from development; fixes are made in development and promoted again</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Pre-production</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mft-ppd.&lt;domain&gt;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Production-like rehearsal: operational acceptance, release rehearsal, volume checks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Masked or approved production-like data (D-ENV-04)</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Promotion only</w:t>
            </w:r>
          </w:p>
        </w:tc>
      </w:tr>
      <w:tr>
        <w:tc>
          <w:tcPr>
            <w:tcW w:type="dxa" w:w="171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Production</w:t>
            </w:r>
          </w:p>
        </w:tc>
        <w:tc>
          <w:tcPr>
            <w:tcW w:type="dxa" w:w="19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mft.&lt;domain&gt;</w:t>
            </w:r>
          </w:p>
        </w:tc>
        <w:tc>
          <w:tcPr>
            <w:tcW w:type="dxa" w:w="212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Live transfers</w:t>
            </w:r>
          </w:p>
        </w:tc>
        <w:tc>
          <w:tcPr>
            <w:tcW w:type="dxa" w:w="18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Live</w:t>
            </w:r>
          </w:p>
        </w:tc>
        <w:tc>
          <w:tcPr>
            <w:tcW w:type="dxa" w:w="197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Promotion only, under change control</w:t>
            </w:r>
          </w:p>
        </w:tc>
      </w:tr>
    </w:tbl>
    <w:p>
      <w:pPr>
        <w:spacing w:after="60"/>
      </w:pPr>
    </w:p>
    <w:p>
      <w:pPr>
        <w:pBdr>
          <w:left w:val="single" w:color="7A5A00" w:sz="24" w:space="6"/>
        </w:pBdr>
        <w:shd w:fill="FDF3D6" w:color="auto" w:val="clear"/>
        <w:spacing w:after="160" w:before="80"/>
      </w:pPr>
      <w:r>
        <w:rPr>
          <w:sz w:val="20"/>
          <w:szCs w:val="20"/>
        </w:rPr>
        <w:t xml:space="preserve">Base URLs are a proposed pattern. Where vanity DNS names are already allocated, use those names and update this table to match.</w:t>
      </w:r>
    </w:p>
    <w:p>
      <w:pPr>
        <w:pStyle w:val="Heading2"/>
      </w:pPr>
      <w:r>
        <w:t xml:space="preserve">6.5 Summary of levels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80"/>
        <w:gridCol w:w="4422"/>
        <w:gridCol w:w="3636"/>
      </w:tblGrid>
      <w:tr>
        <w:trPr>
          <w:tblHeader/>
        </w:trPr>
        <w:tc>
          <w:tcPr>
            <w:tcW w:type="dxa" w:w="15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Level</w:t>
            </w:r>
          </w:p>
        </w:tc>
        <w:tc>
          <w:tcPr>
            <w:tcW w:type="dxa" w:w="442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is</w:t>
            </w:r>
          </w:p>
        </w:tc>
        <w:tc>
          <w:tcPr>
            <w:tcW w:type="dxa" w:w="363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On the programme</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Site</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regional deployment with one base URL. Hosts one or many instances.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site per environment: development, test, pre-production, production</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logically isolated tenant. Cannot see or touch another instance's data, configuration or users.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Three per site: Tax, Valuation Office, Borders and Trade</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business unit, product team or trading partner inside an instance. Owns its connections, flows and keys.</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per product team or partner, created by the iPaaS team (section 7)</w:t>
            </w:r>
          </w:p>
        </w:tc>
      </w:tr>
      <w:tr>
        <w:tc>
          <w:tcPr>
            <w:tcW w:type="dxa" w:w="15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users and machine users</w:t>
            </w:r>
          </w:p>
        </w:tc>
        <w:tc>
          <w:tcPr>
            <w:tcW w:type="dxa" w:w="442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organization's connection points, human accounts and service accounts, each scoped to that organization only.</w:t>
            </w:r>
          </w:p>
        </w:tc>
        <w:tc>
          <w:tcPr>
            <w:tcW w:type="dxa" w:w="363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Endpoints by the team's Standard_Admin, flows by its Standard_User (section 7)</w:t>
            </w:r>
          </w:p>
        </w:tc>
      </w:tr>
    </w:tbl>
    <w:p>
      <w:pPr>
        <w:spacing w:after="60"/>
      </w:pPr>
    </w:p>
    <w:p>
      <w:pPr>
        <w:pStyle w:val="Heading2"/>
      </w:pPr>
      <w:r>
        <w:t xml:space="preserve">6.6 Rules</w:t>
      </w:r>
    </w:p>
    <w:p>
      <w:pPr>
        <w:pStyle w:val="ListParagraph"/>
        <w:numPr>
          <w:ilvl w:val="0"/>
          <w:numId w:val="2"/>
        </w:numPr>
      </w:pPr>
      <w:r>
        <w:t xml:space="preserve">Each instance is set up the same way on every site: the same organizations, endpoint names and flow names, with environment-specific values (hosts, paths, credentials). Promotion then changes values, not names.</w:t>
      </w:r>
    </w:p>
    <w:p>
      <w:pPr>
        <w:pStyle w:val="ListParagraph"/>
        <w:numPr>
          <w:ilvl w:val="0"/>
          <w:numId w:val="2"/>
        </w:numPr>
      </w:pPr>
      <w:r>
        <w:t xml:space="preserve">No flow crosses an instance boundary (D-ENV-01).</w:t>
      </w:r>
    </w:p>
    <w:p>
      <w:pPr>
        <w:pStyle w:val="ListParagraph"/>
        <w:numPr>
          <w:ilvl w:val="0"/>
          <w:numId w:val="2"/>
        </w:numPr>
      </w:pPr>
      <w:r>
        <w:t xml:space="preserve">Live data only in production. Development and test use synthetic data; pre-production data follows D-ENV-04.</w:t>
      </w:r>
    </w:p>
    <w:p>
      <w:pPr>
        <w:pStyle w:val="ListParagraph"/>
        <w:numPr>
          <w:ilvl w:val="0"/>
          <w:numId w:val="2"/>
        </w:numPr>
      </w:pPr>
      <w:r>
        <w:t xml:space="preserve">A development Node never serves test, pre-production or production.</w:t>
      </w:r>
    </w:p>
    <w:p>
      <w:pPr>
        <w:pStyle w:val="ListParagraph"/>
        <w:numPr>
          <w:ilvl w:val="0"/>
          <w:numId w:val="2"/>
        </w:numPr>
      </w:pPr>
      <w:r>
        <w:t xml:space="preserve">The iPaaS team administers all 12 instances. Product teams get access only to their own organization, set per environment (section 7.6).</w:t>
      </w:r>
    </w:p>
    <w:p>
      <w:pPr>
        <w:pStyle w:val="ListParagraph"/>
        <w:numPr>
          <w:ilvl w:val="0"/>
          <w:numId w:val="2"/>
        </w:numPr>
      </w:pPr>
      <w:r>
        <w:t xml:space="preserve">Configuration moves development, then test, then pre-production, then production. There is no native CI/CD for MFT configuration (G-13), so the promotion method is a decision (D-ENV-03; D-MVP-06 covers the MVP).</w:t>
      </w:r>
    </w:p>
    <w:p>
      <w:pPr>
        <w:pStyle w:val="Heading2"/>
      </w:pPr>
      <w:r>
        <w:t xml:space="preserve">6.7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0"/>
        <w:gridCol w:w="6095"/>
        <w:gridCol w:w="2463"/>
      </w:tblGrid>
      <w:tr>
        <w:trPr>
          <w:tblHeader/>
        </w:trPr>
        <w:tc>
          <w:tcPr>
            <w:tcW w:type="dxa" w:w="10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09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46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D-ENV-01</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Pattern for a transfer between business areas held in different instances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D-ENV-02</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 count and sizing per instance and environment, and whether one Node can serve several organizations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D-ENV-03</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promotion mechanism and rollback for the service (G-13)</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D-ENV-04</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allowed in pre-production: masked, or approved production-like</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 Protection Officer with Security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D-ENV-05</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the hosting region of each site and where files are held in transit</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Security Architect</w:t>
            </w:r>
          </w:p>
        </w:tc>
      </w:tr>
      <w:tr>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D-ENV-06</w:t>
            </w:r>
          </w:p>
        </w:tc>
        <w:tc>
          <w:tcPr>
            <w:tcW w:type="dxa" w:w="609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which settings are held per site and which per instance (sign-in and SSO, password policy, branding, IP restrictions)</w:t>
            </w:r>
          </w:p>
        </w:tc>
        <w:tc>
          <w:tcPr>
            <w:tcW w:type="dxa" w:w="246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Boomi</w:t>
            </w:r>
          </w:p>
        </w:tc>
      </w:tr>
    </w:tbl>
    <w:p>
      <w:pPr>
        <w:spacing w:after="60"/>
      </w:pPr>
    </w:p>
    <w:p>
      <w:pPr>
        <w:pStyle w:val="Heading1"/>
      </w:pPr>
      <w:r>
        <w:t xml:space="preserve">7. Roles and access</w:t>
      </w:r>
    </w:p>
    <w:p>
      <w:pPr>
        <w:spacing w:after="120"/>
      </w:pPr>
      <w:r>
        <w:t xml:space="preserve">Product and development teams build their own transfers under a controlled self-service model. Creating a flow is straightforward. The control point is the type and level of access each team gets, which this section sets out. It follows Approach B from the role design note: each product team is given an organization and works inside it.</w:t>
      </w:r>
    </w:p>
    <w:p>
      <w:pPr>
        <w:pStyle w:val="Heading2"/>
      </w:pPr>
      <w:r>
        <w:t xml:space="preserve">7.1 Self-service context</w:t>
      </w:r>
    </w:p>
    <w:p>
      <w:pPr>
        <w:spacing w:after="120"/>
      </w:pPr>
      <w:r>
        <w:t xml:space="preserve">Three transfer patterns are in scope for self-service: internal to internal (within our estate), internal to external (to trusted or untrusted external parties), and external to internal (from trusted or untrusted external parties). The MVP also tests external to external. Flows are built using one of four mechanisms, chosen by use case.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2"/>
        <w:gridCol w:w="3914"/>
        <w:gridCol w:w="3942"/>
      </w:tblGrid>
      <w:tr>
        <w:trPr>
          <w:tblHeader/>
        </w:trPr>
        <w:tc>
          <w:tcPr>
            <w:tcW w:type="dxa" w:w="178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Mechanism</w:t>
            </w:r>
          </w:p>
        </w:tc>
        <w:tc>
          <w:tcPr>
            <w:tcW w:type="dxa" w:w="391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How it works</w:t>
            </w:r>
          </w:p>
        </w:tc>
        <w:tc>
          <w:tcPr>
            <w:tcW w:type="dxa" w:w="39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Notes</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1. Scheduled flow</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AFT flow with a schedule picks up files from a location at a set time or within a time window</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Default choice</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2. API-triggered flow</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AFT flow started by an API call</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Many current transfers are API triggered. Confirm a schedule is not enough before using this (D-RA-07).</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3. API upload</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An API call carries the file and triggers a flow that drops it at a set location</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Packaged as a Boomi Integration template for developers</w:t>
            </w:r>
          </w:p>
        </w:tc>
      </w:tr>
      <w:tr>
        <w:tc>
          <w:tcPr>
            <w:tcW w:type="dxa" w:w="178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4. Pre-signed URL</w:t>
            </w:r>
          </w:p>
        </w:tc>
        <w:tc>
          <w:tcPr>
            <w:tcW w:type="dxa" w:w="39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REST endpoint returns pre-signed URLs so digital applications can upload citizen documents to a set location</w:t>
            </w:r>
          </w:p>
        </w:tc>
        <w:tc>
          <w:tcPr>
            <w:tcW w:type="dxa" w:w="3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Supported through an iFrame component in FS and AFT, injected into the digital front end. A pre-signed URL that can be called by API has been requested from Boomi.</w:t>
            </w:r>
          </w:p>
        </w:tc>
      </w:tr>
    </w:tbl>
    <w:p>
      <w:pPr>
        <w:spacing w:after="60"/>
      </w:pPr>
    </w:p>
    <w:p>
      <w:pPr>
        <w:spacing w:after="120"/>
      </w:pPr>
      <w:r>
        <w:t xml:space="preserve">For faster delivery, the API interactions in mechanisms 2 to 4 are packaged as templates in Boomi Integration that developers reuse.</w:t>
      </w:r>
    </w:p>
    <w:p>
      <w:pPr>
        <w:pStyle w:val="Heading2"/>
      </w:pPr>
      <w:r>
        <w:t xml:space="preserve">7.2 What teams create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9"/>
        <w:gridCol w:w="6064"/>
        <w:gridCol w:w="2045"/>
      </w:tblGrid>
      <w:tr>
        <w:trPr>
          <w:tblHeader/>
        </w:trPr>
        <w:tc>
          <w:tcPr>
            <w:tcW w:type="dxa" w:w="1529"/>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Object</w:t>
            </w:r>
          </w:p>
        </w:tc>
        <w:tc>
          <w:tcPr>
            <w:tcW w:type="dxa" w:w="606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Holds</w:t>
            </w:r>
          </w:p>
        </w:tc>
        <w:tc>
          <w:tcPr>
            <w:tcW w:type="dxa" w:w="204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Created by</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Server and connection details: protocol or connector type, host (IP) and port, username and password or key</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How a flow uses an organization endpoint: pickup or drop-off directory, trigger details, processing such as encryption and AV scan</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as part of a flow</w:t>
            </w:r>
          </w:p>
        </w:tc>
      </w:tr>
      <w:tr>
        <w:tc>
          <w:tcPr>
            <w:tcW w:type="dxa" w:w="1529"/>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606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The transfer from source to one or more targets, using the organization's endpoints and properties</w:t>
            </w:r>
          </w:p>
        </w:tc>
        <w:tc>
          <w:tcPr>
            <w:tcW w:type="dxa" w:w="20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w:t>
            </w:r>
          </w:p>
        </w:tc>
      </w:tr>
    </w:tbl>
    <w:p>
      <w:pPr>
        <w:spacing w:after="60"/>
      </w:pPr>
    </w:p>
    <w:p>
      <w:pPr>
        <w:pStyle w:val="Heading2"/>
      </w:pPr>
      <w:r>
        <w:t xml:space="preserve">7.3 Approach B: one organization per product team</w:t>
      </w:r>
    </w:p>
    <w:p>
      <w:pPr>
        <w:spacing w:after="120"/>
      </w:pPr>
      <w:r>
        <w:t xml:space="preserve">The iPaaS team creates an organization for each product team, named after the product or project, in each instance and environment the team uses. Inside it the team creates endpoints (following the naming conventions in section 8), creates flows and reuses its endpoints across its flows. Teams cannot create organizations. Further organizations are created by the iPaaS team when needed. Access to another team's organization is restricted and granted only on a need basis.</w:t>
      </w:r>
    </w:p>
    <w:p>
      <w:pPr>
        <w:jc w:val="center"/>
      </w:pPr>
      <w:r>
        <w:drawing>
          <wp:inline distT="0" distB="0" distL="0" distR="0">
            <wp:extent cx="6096000" cy="38100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810000"/>
                    </a:xfrm>
                    <a:prstGeom prst="rect">
                      <a:avLst/>
                    </a:prstGeom>
                  </pic:spPr>
                </pic:pic>
              </a:graphicData>
            </a:graphic>
          </wp:inline>
        </w:drawing>
      </w:r>
    </w:p>
    <w:p>
      <w:pPr>
        <w:spacing w:after="200"/>
        <w:jc w:val="center"/>
      </w:pPr>
      <w:r>
        <w:rPr>
          <w:i/>
          <w:iCs/>
          <w:color w:val="52606D"/>
          <w:sz w:val="18"/>
          <w:szCs w:val="18"/>
        </w:rPr>
        <w:t xml:space="preserve">Figure 4. Approach B role permissions, redrawn from the role design note diagram (source: boomi-mft-roles-permissions.drawio)</w:t>
      </w:r>
    </w:p>
    <w:p>
      <w:pPr>
        <w:spacing w:after="120"/>
      </w:pPr>
      <w:r>
        <w:t xml:space="preserve">How to read Figure 4: the organization row shows the endpoints one project uses (Source A, the iPaaS S3 staging area, Destination A and Destination B) and the three flows between them. Each lane below shows who does what, with every action placed under the endpoint or flow it creates.</w:t>
      </w:r>
    </w:p>
    <w:p>
      <w:pPr>
        <w:pStyle w:val="ListParagraph"/>
        <w:numPr>
          <w:ilvl w:val="0"/>
          <w:numId w:val="2"/>
        </w:numPr>
      </w:pPr>
      <w:r>
        <w:t xml:space="preserve">iPaaS platform team: creates the organization, assigns the Standard_Admin and Standard_User roles, grants access to other organizations on request, and sets up sites, instances and MFT runtimes.</w:t>
      </w:r>
    </w:p>
    <w:p>
      <w:pPr>
        <w:pStyle w:val="ListParagraph"/>
        <w:numPr>
          <w:ilvl w:val="0"/>
          <w:numId w:val="2"/>
        </w:numPr>
      </w:pPr>
      <w:r>
        <w:t xml:space="preserve">Standard_Admin (administrator): creates each organization endpoint, so connection details (protocol, host and port, credentials) are owned by the project lead.</w:t>
      </w:r>
    </w:p>
    <w:p>
      <w:pPr>
        <w:pStyle w:val="ListParagraph"/>
        <w:numPr>
          <w:ilvl w:val="0"/>
          <w:numId w:val="2"/>
        </w:numPr>
      </w:pPr>
      <w:r>
        <w:t xml:space="preserve">Standard_User (developer): creates Flow 1, Flow 2 and Flow 3, reusing the endpoints the administrator created. Developers cannot create endpoints or organizations.</w:t>
      </w:r>
    </w:p>
    <w:p>
      <w:pPr>
        <w:pStyle w:val="ListParagraph"/>
        <w:numPr>
          <w:ilvl w:val="0"/>
          <w:numId w:val="2"/>
        </w:numPr>
      </w:pPr>
      <w:r>
        <w:t xml:space="preserve">Both product roles: create keys and certificates and MFT runtimes (as in the role design note, see D-RA-01 and D-RA-02), and view alerts and file activity.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0"/>
        <w:gridCol w:w="8348"/>
      </w:tblGrid>
      <w:tr>
        <w:trPr>
          <w:tblHeader/>
        </w:trPr>
        <w:tc>
          <w:tcPr>
            <w:tcW w:type="dxa" w:w="129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Assessment of Approach B</w:t>
            </w:r>
          </w:p>
        </w:tc>
        <w:tc>
          <w:tcPr>
            <w:tcW w:type="dxa" w:w="834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Detail</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Easy to set up with existing Boomi roles or custom permissions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Teams move quickly: they own their endpoints and flows end to end</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Strength</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Simpler delivery pipeline, because teams can update their own endpoints</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Limitation</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Less central control over endpoint quality and reuse, so naming conventions and periodic review matter</w:t>
            </w:r>
          </w:p>
        </w:tc>
      </w:tr>
      <w:tr>
        <w:tc>
          <w:tcPr>
            <w:tcW w:type="dxa" w:w="129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Limitation</w:t>
            </w:r>
          </w:p>
        </w:tc>
        <w:tc>
          <w:tcPr>
            <w:tcW w:type="dxa" w:w="83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promotion still has no native CI/CD (G-13); a simpler pipeline does not remove that gap (D-ENV-03)</w:t>
            </w:r>
          </w:p>
        </w:tc>
      </w:tr>
    </w:tbl>
    <w:p>
      <w:pPr>
        <w:spacing w:after="60"/>
      </w:pPr>
    </w:p>
    <w:p>
      <w:pPr>
        <w:pStyle w:val="Heading2"/>
      </w:pPr>
      <w:r>
        <w:t xml:space="preserve">7.4 Role types</w:t>
      </w:r>
    </w:p>
    <w:p>
      <w:pPr>
        <w:spacing w:after="120"/>
      </w:pPr>
      <w:r>
        <w:t xml:space="preserve">Each product team gets two role types in its organization: administrators (Standard_Admin) and developers (Standard_User). The iPaaS team holds platform administration. Machine users are accounts, not roles.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7"/>
        <w:gridCol w:w="1725"/>
        <w:gridCol w:w="3628"/>
        <w:gridCol w:w="2248"/>
      </w:tblGrid>
      <w:tr>
        <w:trPr>
          <w:tblHeader/>
        </w:trPr>
        <w:tc>
          <w:tcPr>
            <w:tcW w:type="dxa" w:w="203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Role</w:t>
            </w:r>
          </w:p>
        </w:tc>
        <w:tc>
          <w:tcPr>
            <w:tcW w:type="dxa" w:w="172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Assigned to</w:t>
            </w:r>
          </w:p>
        </w:tc>
        <w:tc>
          <w:tcPr>
            <w:tcW w:type="dxa" w:w="362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Can</w:t>
            </w:r>
          </w:p>
        </w:tc>
        <w:tc>
          <w:tcPr>
            <w:tcW w:type="dxa" w:w="224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Cannot</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platform admin</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team</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organizations, assign roles, register MFT runtimes, grant cross-organization access, view all activity</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 product team flows (by convention)</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 (administrator)</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Lead or owner of the project or product</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its assigned organization, create and change organization endpoints, and everything Standard_User can do</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organizations; see other organizations unless granted</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(developer)</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Developers in the product team</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flows using the organization's endpoints and properties, view alerts and file activity</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 endpoints or organizations</w:t>
            </w:r>
          </w:p>
        </w:tc>
      </w:tr>
      <w:tr>
        <w:tc>
          <w:tcPr>
            <w:tcW w:type="dxa" w:w="203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 (account)</w:t>
            </w:r>
          </w:p>
        </w:tc>
        <w:tc>
          <w:tcPr>
            <w:tcW w:type="dxa" w:w="17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One service or API account per integration</w:t>
            </w:r>
          </w:p>
        </w:tc>
        <w:tc>
          <w:tcPr>
            <w:tcW w:type="dxa" w:w="362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Trigger flows, upload files, request pre-signed URLs through the API</w:t>
            </w:r>
          </w:p>
        </w:tc>
        <w:tc>
          <w:tcPr>
            <w:tcW w:type="dxa" w:w="224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Sign in to the portal</w:t>
            </w:r>
          </w:p>
        </w:tc>
      </w:tr>
    </w:tbl>
    <w:p>
      <w:pPr>
        <w:spacing w:after="60"/>
      </w:pPr>
    </w:p>
    <w:p>
      <w:pPr>
        <w:pStyle w:val="Heading2"/>
      </w:pPr>
      <w:r>
        <w:t xml:space="preserve">7.5 Permission matrix</w:t>
      </w:r>
    </w:p>
    <w:p>
      <w:pPr>
        <w:spacing w:after="120"/>
      </w:pPr>
      <w:r>
        <w:t xml:space="preserve">As set out in the role design note, with the iPaaS column added. Figure 4 shows the same permissions on the project diagram. The comments flag where this page proposes a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5"/>
        <w:gridCol w:w="1605"/>
        <w:gridCol w:w="1815"/>
        <w:gridCol w:w="1080"/>
        <w:gridCol w:w="2613"/>
      </w:tblGrid>
      <w:tr>
        <w:trPr>
          <w:tblHeader/>
        </w:trPr>
        <w:tc>
          <w:tcPr>
            <w:tcW w:type="dxa" w:w="252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Category</w:t>
            </w:r>
          </w:p>
        </w:tc>
        <w:tc>
          <w:tcPr>
            <w:tcW w:type="dxa" w:w="160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Standard_User (developer)</w:t>
            </w:r>
          </w:p>
        </w:tc>
        <w:tc>
          <w:tcPr>
            <w:tcW w:type="dxa" w:w="181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Standard_Admin (administrator)</w:t>
            </w:r>
          </w:p>
        </w:tc>
        <w:tc>
          <w:tcPr>
            <w:tcW w:type="dxa" w:w="108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iPaaS platform admin</w:t>
            </w:r>
          </w:p>
        </w:tc>
        <w:tc>
          <w:tcPr>
            <w:tcW w:type="dxa" w:w="261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Comments</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Only iPaaS admins create organizations</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organization endpoint</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Only Standard_Admin in the product team</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PGP, SSH keys and certificates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Proposed: Standard_Admin only (D-RA-02)</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MFT runtimes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Proposed: iPaaS team only (D-RA-01)</w:t>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Create flows (using organization endpoints and properties)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Alerts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activity</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
            </w:r>
          </w:p>
        </w:tc>
      </w:tr>
      <w:tr>
        <w:tc>
          <w:tcPr>
            <w:tcW w:type="dxa" w:w="252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other organizations</w:t>
            </w:r>
          </w:p>
        </w:tc>
        <w:tc>
          <w:tcPr>
            <w:tcW w:type="dxa" w:w="160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 request</w:t>
            </w:r>
          </w:p>
        </w:tc>
        <w:tc>
          <w:tcPr>
            <w:tcW w:type="dxa" w:w="181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On request</w:t>
            </w:r>
          </w:p>
        </w:tc>
        <w:tc>
          <w:tcPr>
            <w:tcW w:type="dxa" w:w="108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Yes</w:t>
            </w:r>
          </w:p>
        </w:tc>
        <w:tc>
          <w:tcPr>
            <w:tcW w:type="dxa" w:w="261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Granted by the iPaaS team on a need basis (D-RA-04)</w:t>
            </w:r>
          </w:p>
        </w:tc>
      </w:tr>
    </w:tbl>
    <w:p>
      <w:pPr>
        <w:spacing w:after="60"/>
      </w:pPr>
    </w:p>
    <w:p>
      <w:pPr>
        <w:pStyle w:val="Heading2"/>
      </w:pPr>
      <w:r>
        <w:t xml:space="preserve">7.6 Access by environment (proposed)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7"/>
        <w:gridCol w:w="765"/>
        <w:gridCol w:w="1473"/>
        <w:gridCol w:w="1151"/>
        <w:gridCol w:w="3042"/>
      </w:tblGrid>
      <w:tr>
        <w:trPr>
          <w:tblHeader/>
        </w:trPr>
        <w:tc>
          <w:tcPr>
            <w:tcW w:type="dxa" w:w="320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Role</w:t>
            </w:r>
          </w:p>
        </w:tc>
        <w:tc>
          <w:tcPr>
            <w:tcW w:type="dxa" w:w="7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dev</w:t>
            </w:r>
          </w:p>
        </w:tc>
        <w:tc>
          <w:tcPr>
            <w:tcW w:type="dxa" w:w="147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test</w:t>
            </w:r>
          </w:p>
        </w:tc>
        <w:tc>
          <w:tcPr>
            <w:tcW w:type="dxa" w:w="115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pre-prod</w:t>
            </w:r>
          </w:p>
        </w:tc>
        <w:tc>
          <w:tcPr>
            <w:tcW w:type="dxa" w:w="30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prod</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Standard_User (developer)</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run tests</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View alerts and file activity</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Standard_Admin (administrator)</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Build</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for test</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by change</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Set endpoint values, by change; view</w:t>
            </w:r>
          </w:p>
        </w:tc>
      </w:tr>
      <w:tr>
        <w:tc>
          <w:tcPr>
            <w:tcW w:type="dxa" w:w="320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iPaaS platform admin</w:t>
            </w:r>
          </w:p>
        </w:tc>
        <w:tc>
          <w:tcPr>
            <w:tcW w:type="dxa" w:w="7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147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115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w:t>
            </w:r>
          </w:p>
        </w:tc>
        <w:tc>
          <w:tcPr>
            <w:tcW w:type="dxa" w:w="30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Full, under change control</w:t>
            </w:r>
          </w:p>
        </w:tc>
      </w:tr>
    </w:tbl>
    <w:p>
      <w:pPr>
        <w:spacing w:after="60"/>
      </w:pPr>
    </w:p>
    <w:p>
      <w:pPr>
        <w:spacing w:after="120"/>
      </w:pPr>
      <w:r>
        <w:t xml:space="preserve">From test onwards, flows and endpoints arrive by promotion, not by hand. Only environment-specific values, such as hosts and credentials, are set in each environment (D-RA-03).</w:t>
      </w:r>
    </w:p>
    <w:p>
      <w:pPr>
        <w:pStyle w:val="Heading2"/>
      </w:pPr>
      <w:r>
        <w:t xml:space="preserve">7.7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6820"/>
        <w:gridCol w:w="1843"/>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682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1843"/>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D-RA-01</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runtimes: the role note lets both product roles create them. A runtime needs a server, network placement and firewall rules in the internal estate. Proposal: only the iPaaS team creates and registers runtimes, and product teams select an existing runtime on their endpoints.</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D-RA-02</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Keys and certificates: the role note lets Standard_User create them. Proposal: Standard_Admin only, under the key management process, with the creation date in the name for rotation (G-14).</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D-RA-03</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by environment as in section 7.6</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 with 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D-RA-04</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Cross-organization access on a need basis: request, approval, time limit and review</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D-RA-05</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that standard Boomi roles or custom permissions can limit a user to one organization inside an instance, as Approach B assumes</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 with Boomi</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D-RA-06</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Joiners, movers and leavers, sign-in through corporate SSO, and quarterly access review for each organization</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Service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D-RA-07</w:t>
            </w:r>
          </w:p>
        </w:tc>
        <w:tc>
          <w:tcPr>
            <w:tcW w:type="dxa" w:w="682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When an API-triggered flow (mechanism 2) is justified over a schedule</w:t>
            </w:r>
          </w:p>
        </w:tc>
        <w:tc>
          <w:tcPr>
            <w:tcW w:type="dxa" w:w="1843"/>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w:t>
            </w:r>
          </w:p>
        </w:tc>
      </w:tr>
    </w:tbl>
    <w:p>
      <w:pPr>
        <w:spacing w:after="60"/>
      </w:pPr>
    </w:p>
    <w:p>
      <w:pPr>
        <w:pStyle w:val="Heading1"/>
      </w:pPr>
      <w:r>
        <w:t xml:space="preserve">8. Naming conventions (proposed)</w:t>
      </w:r>
    </w:p>
    <w:p>
      <w:pPr>
        <w:pStyle w:val="Heading2"/>
      </w:pPr>
      <w:r>
        <w:t xml:space="preserve">8.1 Rules</w:t>
      </w:r>
    </w:p>
    <w:p>
      <w:pPr>
        <w:pStyle w:val="ListParagraph"/>
        <w:numPr>
          <w:ilvl w:val="0"/>
          <w:numId w:val="2"/>
        </w:numPr>
      </w:pPr>
      <w:r>
        <w:t xml:space="preserve">Names are the same in every environment. The environment comes from the site, so promoted configuration needs no renaming. Only MFT Nodes, hosts and access groups carry an environment code.</w:t>
      </w:r>
    </w:p>
    <w:p>
      <w:pPr>
        <w:pStyle w:val="ListParagraph"/>
        <w:numPr>
          <w:ilvl w:val="0"/>
          <w:numId w:val="2"/>
        </w:numPr>
      </w:pPr>
      <w:r>
        <w:t xml:space="preserve">Segments go in a fixed order, separated by hyphens. Codes are upper case; the purpose segment is PascalCase. Directory paths, Node names and machine users are lower case.</w:t>
      </w:r>
    </w:p>
    <w:p>
      <w:pPr>
        <w:pStyle w:val="ListParagraph"/>
        <w:numPr>
          <w:ilvl w:val="0"/>
          <w:numId w:val="2"/>
        </w:numPr>
      </w:pPr>
      <w:r>
        <w:t xml:space="preserve">Letters, digits and hyphens only, with no spaces. Keep names under 64 characters; confirm Boomi field limits (D-NC-02).</w:t>
      </w:r>
    </w:p>
    <w:p>
      <w:pPr>
        <w:pStyle w:val="ListParagraph"/>
        <w:numPr>
          <w:ilvl w:val="0"/>
          <w:numId w:val="2"/>
        </w:numPr>
      </w:pPr>
      <w:r>
        <w:t xml:space="preserve">No personal names in object names. Use team, system or partner names.</w:t>
      </w:r>
    </w:p>
    <w:p>
      <w:pPr>
        <w:pStyle w:val="ListParagraph"/>
        <w:numPr>
          <w:ilvl w:val="0"/>
          <w:numId w:val="2"/>
        </w:numPr>
      </w:pPr>
      <w:r>
        <w:t xml:space="preserve">Existing objects keep their names. The convention applies to new objects.</w:t>
      </w:r>
    </w:p>
    <w:p>
      <w:pPr>
        <w:pStyle w:val="Heading2"/>
      </w:pPr>
      <w:r>
        <w:t xml:space="preserve">8.2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tblHeader/>
        </w:trPr>
        <w:tc>
          <w:tcPr>
            <w:tcW w:type="dxa" w:w="150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Code set</w:t>
            </w:r>
          </w:p>
        </w:tc>
        <w:tc>
          <w:tcPr>
            <w:tcW w:type="dxa" w:w="813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Values</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Environment</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 TST, PPD, PRD</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 (Tax), BDT (Borders and Trade), VOA (Valuation Office)</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PRJ (product or project team), PTN (external partner), SYS (internal system that owns a landing area), PLT (iPaaS platform)</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Pattern</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I2I (internal to internal), I2E (internal to external), E2I (external to internal), E2E (external to external)</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SFTP, FTPS, HTTPS, S3, BLOB (Azure Blob), AZF (Azure Files), GCS, SPO (SharePoint), FSH (File Share via MFT Node), CON (MFT Connector), FS (File Sharing)</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 role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SRC (source), TGT (target)</w:t>
            </w:r>
          </w:p>
        </w:tc>
      </w:tr>
      <w:tr>
        <w:tc>
          <w:tcPr>
            <w:tcW w:type="dxa" w:w="150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 type</w:t>
            </w:r>
          </w:p>
        </w:tc>
        <w:tc>
          <w:tcPr>
            <w:tcW w:type="dxa" w:w="813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PGP, SSH, TLS</w:t>
            </w:r>
          </w:p>
        </w:tc>
      </w:tr>
    </w:tbl>
    <w:p>
      <w:pPr>
        <w:spacing w:after="60"/>
      </w:pPr>
    </w:p>
    <w:p>
      <w:pPr>
        <w:pStyle w:val="Heading2"/>
      </w:pPr>
      <w:r>
        <w:t xml:space="preserve">8.3 Object names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8"/>
        <w:gridCol w:w="5265"/>
        <w:gridCol w:w="3185"/>
      </w:tblGrid>
      <w:tr>
        <w:trPr>
          <w:tblHeader/>
        </w:trPr>
        <w:tc>
          <w:tcPr>
            <w:tcW w:type="dxa" w:w="118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Object</w:t>
            </w:r>
          </w:p>
        </w:tc>
        <w:tc>
          <w:tcPr>
            <w:tcW w:type="dxa" w:w="526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Pattern</w:t>
            </w:r>
          </w:p>
        </w:tc>
        <w:tc>
          <w:tcPr>
            <w:tcW w:type="dxa" w:w="318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Example</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Site base URL</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mft-{env}.&lt;domain&gt;; prod is mft.&lt;domain&gt;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mft-dev.&lt;domain&gt;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Instance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Business area name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{INST}-{ORGTYPE}-{Name}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 TAX-PTN-ONS</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{ORG}-{TYPE}-{System}</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TAX-PRJ-SDEC-S3-Staging</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{INST}-{PATTERN}-{Source}-{Target}-{Purpose}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TAX-I2E-ADR-ONS-MigrantWorkersScan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{Organization endpoint}-{SRC|TGT}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TAX-PRJ-SDEC-S3-Staging-TGT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Directory path</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/{inst}/{org}/{purpose}/{in|out|archive|error}</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/tax/prj-sdec/evidence-upload/in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File name (new interfaces)</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{Source}_{Target}_{FileType}_{YYYYMMDDThhmmssZ}[_{seq}].{ext}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NPS_ADR_MWS_20261022T020000Z_001.csv</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{env}-{inst}-node-{zone}-{nn}</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prd-tax-node-az1-01</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svc-{inst}-{org}-{purpose}</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svc-tax-sdec-api-trigger</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Human user</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Corporate SSO identity; no shared accounts</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Corporate email address</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group</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MFT-{ENV}-{ORG}-{ADMIN|DEV}</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MFT-PRD-TAX-PRJ-SDEC-ADMIN</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Key or certificate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{ORG}-{KEYTYPE}-{Purpose}-{YYYYMM}</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TAX-PTN-ONS-PGP-Public-202610</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Alert recipient list</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mft-{inst}-{org}-alerts@&lt;domain&gt;</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mft-tax-sdec-alerts@&lt;domain&gt;</w:t>
            </w:r>
          </w:p>
        </w:tc>
      </w:tr>
      <w:tr>
        <w:tc>
          <w:tcPr>
            <w:tcW w:type="dxa" w:w="118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Endpoint tags (when available)</w:t>
            </w:r>
          </w:p>
        </w:tc>
        <w:tc>
          <w:tcPr>
            <w:tcW w:type="dxa" w:w="526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dataclass, owner, pattern, catalogue-id</w:t>
            </w:r>
          </w:p>
        </w:tc>
        <w:tc>
          <w:tcPr>
            <w:tcW w:type="dxa" w:w="318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dataclass=official; pattern=I2E</w:t>
            </w:r>
          </w:p>
        </w:tc>
      </w:tr>
    </w:tbl>
    <w:p>
      <w:pPr>
        <w:spacing w:after="60"/>
      </w:pPr>
    </w:p>
    <w:p>
      <w:pPr>
        <w:pBdr>
          <w:left w:val="single" w:color="7A5A00" w:sz="24" w:space="6"/>
        </w:pBdr>
        <w:shd w:fill="FDF3D6" w:color="auto" w:val="clear"/>
        <w:spacing w:after="160" w:before="80"/>
      </w:pPr>
      <w:r>
        <w:rPr>
          <w:sz w:val="20"/>
          <w:szCs w:val="20"/>
        </w:rPr>
        <w:t xml:space="preserve">The access group pattern maps to the two role types: the ADMIN group is assigned Standard_Admin and the DEV group Standard_User on that organization.</w:t>
      </w:r>
    </w:p>
    <w:p>
      <w:pPr>
        <w:pStyle w:val="Heading2"/>
      </w:pPr>
      <w:r>
        <w:t xml:space="preserve">8.4 Worked example (illustrative)</w:t>
      </w:r>
    </w:p>
    <w:p>
      <w:pPr>
        <w:spacing w:after="120"/>
      </w:pPr>
      <w:r>
        <w:t xml:space="preserve">MVP pattern P3, external to internal, named as if it sat in the Tax instance in dev.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2"/>
        <w:gridCol w:w="7696"/>
      </w:tblGrid>
      <w:tr>
        <w:trPr>
          <w:tblHeader/>
        </w:trPr>
        <w:tc>
          <w:tcPr>
            <w:tcW w:type="dxa" w:w="1942"/>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Item</w:t>
            </w:r>
          </w:p>
        </w:tc>
        <w:tc>
          <w:tcPr>
            <w:tcW w:type="dxa" w:w="7696"/>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Name</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organization</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Partner endpoint</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TAX-PTN-PEGA-SFTP-LZ1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Product team organization</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Internal endpoint</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TAX-PRJ-MFTMVP-S3-Bucket1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TAX-E2I-PEGALZ1-Bucket1-MvpPattern3</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Flow endpoints</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TAX-PTN-PEGA-SFTP-LZ1-SRC; TAX-PRJ-MFTMVP-S3-Bucket1-TGT</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Target path</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/tax/prj-mftmvp/pattern3/in</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 Node</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dev-tax-node-az1-01</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Machine user</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svc-tax-mftmvp-api-trigger</w:t>
            </w:r>
          </w:p>
        </w:tc>
      </w:tr>
      <w:tr>
        <w:tc>
          <w:tcPr>
            <w:tcW w:type="dxa" w:w="1942"/>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Access groups</w:t>
            </w:r>
          </w:p>
        </w:tc>
        <w:tc>
          <w:tcPr>
            <w:tcW w:type="dxa" w:w="7696"/>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MFT-DEV-TAX-PRJ-MFTMVP-ADMIN; MFT-DEV-TAX-PRJ-MFTMVP-DEV</w:t>
            </w:r>
          </w:p>
        </w:tc>
      </w:tr>
    </w:tbl>
    <w:p>
      <w:pPr>
        <w:spacing w:after="60"/>
      </w:pPr>
    </w:p>
    <w:p>
      <w:pPr>
        <w:pStyle w:val="Heading2"/>
      </w:pPr>
      <w:r>
        <w:t xml:space="preserve">8.5 Decisions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75"/>
        <w:gridCol w:w="5708"/>
        <w:gridCol w:w="2955"/>
      </w:tblGrid>
      <w:tr>
        <w:trPr>
          <w:tblHeader/>
        </w:trPr>
        <w:tc>
          <w:tcPr>
            <w:tcW w:type="dxa" w:w="9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5708"/>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Decision required</w:t>
            </w:r>
          </w:p>
        </w:tc>
        <w:tc>
          <w:tcPr>
            <w:tcW w:type="dxa" w:w="295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Proposed owner role</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D-NC-01</w:t>
            </w:r>
          </w:p>
        </w:tc>
        <w:tc>
          <w:tcPr>
            <w:tcW w:type="dxa" w:w="570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Agree the naming convention and the instance and organization type codes</w:t>
            </w:r>
          </w:p>
        </w:tc>
        <w:tc>
          <w:tcPr>
            <w:tcW w:type="dxa" w:w="29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Integration Architect with Boomi Platform Owner</w:t>
            </w:r>
          </w:p>
        </w:tc>
      </w:tr>
      <w:tr>
        <w:tc>
          <w:tcPr>
            <w:tcW w:type="dxa" w:w="9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D-NC-02</w:t>
            </w:r>
          </w:p>
        </w:tc>
        <w:tc>
          <w:tcPr>
            <w:tcW w:type="dxa" w:w="5708"/>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Confirm Boomi field length and character limits for each object type</w:t>
            </w:r>
          </w:p>
        </w:tc>
        <w:tc>
          <w:tcPr>
            <w:tcW w:type="dxa" w:w="295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bl>
    <w:p>
      <w:pPr>
        <w:spacing w:after="60"/>
      </w:pPr>
    </w:p>
    <w:p>
      <w:pPr>
        <w:pStyle w:val="Heading1"/>
      </w:pPr>
      <w:r>
        <w:t xml:space="preserve">9. Gaps and security baseline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0"/>
        <w:gridCol w:w="2775"/>
        <w:gridCol w:w="2645"/>
        <w:gridCol w:w="2171"/>
        <w:gridCol w:w="1387"/>
      </w:tblGrid>
      <w:tr>
        <w:trPr>
          <w:tblHeader/>
        </w:trPr>
        <w:tc>
          <w:tcPr>
            <w:tcW w:type="dxa" w:w="660"/>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ID</w:t>
            </w:r>
          </w:p>
        </w:tc>
        <w:tc>
          <w:tcPr>
            <w:tcW w:type="dxa" w:w="277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Gap</w:t>
            </w:r>
          </w:p>
        </w:tc>
        <w:tc>
          <w:tcPr>
            <w:tcW w:type="dxa" w:w="2645"/>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Impact</w:t>
            </w:r>
          </w:p>
        </w:tc>
        <w:tc>
          <w:tcPr>
            <w:tcW w:type="dxa" w:w="2171"/>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Treatment</w:t>
            </w:r>
          </w:p>
        </w:tc>
        <w:tc>
          <w:tcPr>
            <w:tcW w:type="dxa" w:w="1387"/>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Owner role</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G-13</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native CI/CD pipeline for MFT configuration</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Configuration rows are data, outside standard build and rollback</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Agree the promotion mechanism and evidence rollback (D-MVP-06)</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G-14</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documented native route to source MFT credentials from enterprise PAM (CyberArk)</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Manual credential handling</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Interim controlled process with audit (D-MVP-04)</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G-15</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AV scan limit about 250 MB via Windows MDE</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Large files cannot be scanned on the current route</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Large-file design or a size cap; fail closed</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Boomi Platform Owner</w:t>
            </w:r>
          </w:p>
        </w:tc>
      </w:tr>
      <w:tr>
        <w:tc>
          <w:tcPr>
            <w:tcW w:type="dxa" w:w="660"/>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FS gap</w:t>
            </w:r>
          </w:p>
        </w:tc>
        <w:tc>
          <w:tcPr>
            <w:tcW w:type="dxa" w:w="277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No native DLP on the FS citizen channel</w:t>
            </w:r>
          </w:p>
        </w:tc>
        <w:tc>
          <w:tcPr>
            <w:tcW w:type="dxa" w:w="2645"/>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Sensitive content could be shared without inspection</w:t>
            </w:r>
          </w:p>
        </w:tc>
        <w:tc>
          <w:tcPr>
            <w:tcW w:type="dxa" w:w="2171"/>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Decision D-FS-04</w:t>
            </w:r>
          </w:p>
        </w:tc>
        <w:tc>
          <w:tcPr>
            <w:tcW w:type="dxa" w:w="1387"/>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Security Architect</w:t>
            </w:r>
          </w:p>
        </w:tc>
      </w:tr>
    </w:tbl>
    <w:p>
      <w:pPr>
        <w:spacing w:after="60"/>
      </w:pPr>
    </w:p>
    <w:p>
      <w:pPr>
        <w:pStyle w:val="Heading2"/>
      </w:pPr>
      <w:r>
        <w:t xml:space="preserve">9.1 Security baseline for every transfer</w:t>
      </w:r>
    </w:p>
    <w:p>
      <w:pPr>
        <w:pStyle w:val="ListParagraph"/>
        <w:numPr>
          <w:ilvl w:val="0"/>
          <w:numId w:val="2"/>
        </w:numPr>
      </w:pPr>
      <w:r>
        <w:t xml:space="preserve">TLS 1.2 minimum (1.3 preferred) on every leg; no plaintext FTP.</w:t>
      </w:r>
    </w:p>
    <w:p>
      <w:pPr>
        <w:pStyle w:val="ListParagraph"/>
        <w:numPr>
          <w:ilvl w:val="0"/>
          <w:numId w:val="2"/>
        </w:numPr>
      </w:pPr>
      <w:r>
        <w:t xml:space="preserve">Credentials held outside configuration where the platform allows, with the G-14 interim control recorded where it does not.</w:t>
      </w:r>
    </w:p>
    <w:p>
      <w:pPr>
        <w:pStyle w:val="ListParagraph"/>
        <w:numPr>
          <w:ilvl w:val="0"/>
          <w:numId w:val="2"/>
        </w:numPr>
      </w:pPr>
      <w:r>
        <w:t xml:space="preserve">Least-privilege IAM roles and KMS keys on S3 locations used by the Node; encryption at rest throughout.</w:t>
      </w:r>
    </w:p>
    <w:p>
      <w:pPr>
        <w:pStyle w:val="ListParagraph"/>
        <w:numPr>
          <w:ilvl w:val="0"/>
          <w:numId w:val="2"/>
        </w:numPr>
      </w:pPr>
      <w:r>
        <w:t xml:space="preserve">AV scan before any inbound file lands internally. A scanner fault fails closed and the file is not delivered.</w:t>
      </w:r>
    </w:p>
    <w:p>
      <w:pPr>
        <w:pStyle w:val="ListParagraph"/>
        <w:numPr>
          <w:ilvl w:val="0"/>
          <w:numId w:val="2"/>
        </w:numPr>
      </w:pPr>
      <w:r>
        <w:t xml:space="preserve">An audit record per transfer: source, target, file name, size, SHA-256, start and end time, outcome and correlation ID.</w:t>
      </w:r>
    </w:p>
    <w:p>
      <w:pPr>
        <w:pStyle w:val="Heading1"/>
      </w:pPr>
      <w:r>
        <w:t xml:space="preserve">10. Design principles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4"/>
        <w:gridCol w:w="7324"/>
      </w:tblGrid>
      <w:tr>
        <w:trPr>
          <w:tblHeader/>
        </w:trPr>
        <w:tc>
          <w:tcPr>
            <w:tcW w:type="dxa" w:w="231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Principle</w:t>
            </w:r>
          </w:p>
        </w:tc>
        <w:tc>
          <w:tcPr>
            <w:tcW w:type="dxa" w:w="7324"/>
            <w:tcBorders>
              <w:top w:val="single" w:color="C5CCD3" w:sz="4"/>
              <w:left w:val="single" w:color="C5CCD3" w:sz="4"/>
              <w:bottom w:val="single" w:color="C5CCD3" w:sz="4"/>
              <w:right w:val="single" w:color="C5CCD3" w:sz="4"/>
            </w:tcBorders>
            <w:shd w:fill="E8F0FA" w:color="auto" w:val="clear"/>
            <w:tcMar>
              <w:top w:type="dxa" w:w="60"/>
              <w:left w:type="dxa" w:w="100"/>
              <w:bottom w:type="dxa" w:w="60"/>
              <w:right w:type="dxa" w:w="100"/>
            </w:tcMar>
          </w:tcPr>
          <w:p>
            <w:r>
              <w:rPr>
                <w:b/>
                <w:bCs/>
                <w:sz w:val="19"/>
                <w:szCs w:val="19"/>
              </w:rPr>
              <w:t xml:space="preserve">What it means for MFT</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Config over construction</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 new transfer is a configuration row on a generic Flow, never a new component per interface.</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Prove it before you promise it</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Capabilities and dates are committed only after proving work, with decisions owned by named roles.</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Visibility as a feature</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Activity, alerting and audit are requirements, not extras.</w:t>
            </w:r>
          </w:p>
        </w:tc>
      </w:tr>
      <w:tr>
        <w:tc>
          <w:tcPr>
            <w:tcW w:type="dxa" w:w="231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Surface tensions</w:t>
            </w:r>
          </w:p>
        </w:tc>
        <w:tc>
          <w:tcPr>
            <w:tcW w:type="dxa" w:w="7324"/>
            <w:tcBorders>
              <w:top w:val="single" w:color="C5CCD3" w:sz="4"/>
              <w:left w:val="single" w:color="C5CCD3" w:sz="4"/>
              <w:bottom w:val="single" w:color="C5CCD3" w:sz="4"/>
              <w:right w:val="single" w:color="C5CCD3" w:sz="4"/>
            </w:tcBorders>
            <w:tcMar>
              <w:top w:type="dxa" w:w="60"/>
              <w:left w:type="dxa" w:w="100"/>
              <w:bottom w:type="dxa" w:w="60"/>
              <w:right w:type="dxa" w:w="100"/>
            </w:tcMar>
          </w:tcPr>
          <w:p>
            <w:r>
              <w:rPr>
                <w:b w:val="false"/>
                <w:bCs w:val="false"/>
                <w:sz w:val="19"/>
                <w:szCs w:val="19"/>
              </w:rPr>
              <w:t xml:space="preserve">Overlaps with the incumbent estate and other programmes are logged as decisions with owners, not resolved silently.</w:t>
            </w:r>
          </w:p>
        </w:tc>
      </w:tr>
    </w:tbl>
    <w:p>
      <w:pPr>
        <w:spacing w:after="60"/>
      </w:pPr>
    </w:p>
    <w:p>
      <w:pPr>
        <w:pStyle w:val="Heading1"/>
      </w:pPr>
      <w:r>
        <w:t xml:space="preserve">11. References</w:t>
      </w:r>
    </w:p>
    <w:p>
      <w:pPr>
        <w:pStyle w:val="ListParagraph"/>
        <w:numPr>
          <w:ilvl w:val="0"/>
          <w:numId w:val="2"/>
        </w:numPr>
      </w:pPr>
      <w:hyperlink w:history="1" r:id="rIdsfvmuprb352lhjnlyd7e6">
        <w:r>
          <w:rPr>
            <w:rStyle w:val="Hyperlink"/>
          </w:rPr>
          <w:t xml:space="preserve">Boomi MFT overview</w:t>
        </w:r>
      </w:hyperlink>
      <w:r>
        <w:rPr>
          <w:color w:val="52606D"/>
          <w:sz w:val="18"/>
          <w:szCs w:val="18"/>
        </w:rPr>
        <w:t xml:space="preserve">: https://help.boomi.com/docs/Atomsphere/Integration/MFT/boomi_mft</w:t>
      </w:r>
    </w:p>
    <w:p>
      <w:pPr>
        <w:pStyle w:val="ListParagraph"/>
        <w:numPr>
          <w:ilvl w:val="0"/>
          <w:numId w:val="2"/>
        </w:numPr>
      </w:pPr>
      <w:hyperlink w:history="1" r:id="rIdvfow8n5yit6te9draoycn">
        <w:r>
          <w:rPr>
            <w:rStyle w:val="Hyperlink"/>
          </w:rPr>
          <w:t xml:space="preserve">Automated File Transfer</w:t>
        </w:r>
      </w:hyperlink>
      <w:r>
        <w:rPr>
          <w:color w:val="52606D"/>
          <w:sz w:val="18"/>
          <w:szCs w:val="18"/>
        </w:rPr>
        <w:t xml:space="preserve">: https://help.boomi.com/docs/Atomsphere/Integration/MFT/AutomatedFileTransfer/aft</w:t>
      </w:r>
    </w:p>
    <w:p>
      <w:pPr>
        <w:pStyle w:val="ListParagraph"/>
        <w:numPr>
          <w:ilvl w:val="0"/>
          <w:numId w:val="2"/>
        </w:numPr>
      </w:pPr>
      <w:hyperlink w:history="1" r:id="rIdlziphzxwgjj3w-yomst_s">
        <w:r>
          <w:rPr>
            <w:rStyle w:val="Hyperlink"/>
          </w:rPr>
          <w:t xml:space="preserve">AFT endpoint types</w:t>
        </w:r>
      </w:hyperlink>
      <w:r>
        <w:rPr>
          <w:color w:val="52606D"/>
          <w:sz w:val="18"/>
          <w:szCs w:val="18"/>
        </w:rPr>
        <w:t xml:space="preserve">: https://help.boomi.com/docs/Atomsphere/Integration/MFT/AutomatedFileTransfer/user-guide/organizations/endpoint-types/</w:t>
      </w:r>
    </w:p>
    <w:p>
      <w:pPr>
        <w:pStyle w:val="ListParagraph"/>
        <w:numPr>
          <w:ilvl w:val="0"/>
          <w:numId w:val="2"/>
        </w:numPr>
      </w:pPr>
      <w:hyperlink w:history="1" r:id="rIdiynupa6i1wb6fjx18urww">
        <w:r>
          <w:rPr>
            <w:rStyle w:val="Hyperlink"/>
          </w:rPr>
          <w:t xml:space="preserve">MFT Nodes</w:t>
        </w:r>
      </w:hyperlink>
      <w:r>
        <w:rPr>
          <w:color w:val="52606D"/>
          <w:sz w:val="18"/>
          <w:szCs w:val="18"/>
        </w:rPr>
        <w:t xml:space="preserve">: https://help.boomi.com/docs/Atomsphere/Integration/MFT/AutomatedFileTransfer/user-guide/organizations/mftnodes/</w:t>
      </w:r>
    </w:p>
    <w:p>
      <w:pPr>
        <w:pStyle w:val="ListParagraph"/>
        <w:numPr>
          <w:ilvl w:val="0"/>
          <w:numId w:val="2"/>
        </w:numPr>
      </w:pPr>
      <w:hyperlink w:history="1" r:id="rIdul2c_snz_jam_yxw6khn4">
        <w:r>
          <w:rPr>
            <w:rStyle w:val="Hyperlink"/>
          </w:rPr>
          <w:t xml:space="preserve">MFT Node runtime</w:t>
        </w:r>
      </w:hyperlink>
      <w:r>
        <w:rPr>
          <w:color w:val="52606D"/>
          <w:sz w:val="18"/>
          <w:szCs w:val="18"/>
        </w:rPr>
        <w:t xml:space="preserve">: https://help.boomi.com/docs/Atomsphere/Integration/MFT/AutomatedFileTransfer/user-guide/mft-node-runtime/</w:t>
      </w:r>
    </w:p>
    <w:p>
      <w:pPr>
        <w:pStyle w:val="ListParagraph"/>
        <w:numPr>
          <w:ilvl w:val="0"/>
          <w:numId w:val="2"/>
        </w:numPr>
      </w:pPr>
      <w:hyperlink w:history="1" r:id="rId1isceqvvjwsqmwhr1rbyf">
        <w:r>
          <w:rPr>
            <w:rStyle w:val="Hyperlink"/>
          </w:rPr>
          <w:t xml:space="preserve">File Sharing user guide</w:t>
        </w:r>
      </w:hyperlink>
      <w:r>
        <w:rPr>
          <w:color w:val="52606D"/>
          <w:sz w:val="18"/>
          <w:szCs w:val="18"/>
        </w:rPr>
        <w:t xml:space="preserve">: https://help.boomi.com/docs/Atomsphere/Integration/MFT/FileSharing/FileSharingUserGuide/file-sharing-user-guide</w:t>
      </w:r>
    </w:p>
    <w:p>
      <w:pPr>
        <w:pStyle w:val="ListParagraph"/>
        <w:numPr>
          <w:ilvl w:val="0"/>
          <w:numId w:val="2"/>
        </w:numPr>
      </w:pPr>
      <w:hyperlink w:history="1" r:id="rIdvfcuimwi1te6t40vtojae">
        <w:r>
          <w:rPr>
            <w:rStyle w:val="Hyperlink"/>
          </w:rPr>
          <w:t xml:space="preserve">File Sharing administration guide</w:t>
        </w:r>
      </w:hyperlink>
      <w:r>
        <w:rPr>
          <w:color w:val="52606D"/>
          <w:sz w:val="18"/>
          <w:szCs w:val="18"/>
        </w:rPr>
        <w:t xml:space="preserve">: https://help.boomi.com/docs/Atomsphere/Integration/MFT/FileSharing/AdministrationGuide/administration-guide</w:t>
      </w:r>
    </w:p>
    <w:p>
      <w:pPr>
        <w:pStyle w:val="ListParagraph"/>
        <w:numPr>
          <w:ilvl w:val="0"/>
          <w:numId w:val="2"/>
        </w:numPr>
      </w:pPr>
      <w:hyperlink w:history="1" r:id="rIdxe3vnk7g7i7rrmwdvlsan">
        <w:r>
          <w:rPr>
            <w:rStyle w:val="Hyperlink"/>
          </w:rPr>
          <w:t xml:space="preserve">Boomi product roadmap, Q3 2026</w:t>
        </w:r>
      </w:hyperlink>
      <w:r>
        <w:rPr>
          <w:color w:val="52606D"/>
          <w:sz w:val="18"/>
          <w:szCs w:val="18"/>
        </w:rPr>
        <w:t xml:space="preserve">: https://boomi.com/ja/blog/boomi-product-roadmap-q3-2026-everything-you-want-to-know/</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606D"/>
        <w:sz w:val="16"/>
        <w:szCs w:val="16"/>
      </w:rPr>
      <w:t xml:space="preserve">Page </w:t>
    </w:r>
    <w:r>
      <w:rPr>
        <w:color w:val="52606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2606D"/>
        <w:sz w:val="16"/>
        <w:szCs w:val="16"/>
      </w:rPr>
      <w:t xml:space="preserve">Boomi MFT Platform: Overview, AFT and FS | v0.4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4304F"/>
      <w:sz w:val="40"/>
      <w:szCs w:val="40"/>
    </w:rPr>
  </w:style>
  <w:style w:type="paragraph" w:styleId="Heading1">
    <w:name w:val="Heading 1"/>
    <w:basedOn w:val="Normal"/>
    <w:next w:val="Normal"/>
    <w:qFormat/>
    <w:pPr>
      <w:keepNext/>
      <w:keepLines/>
      <w:spacing w:after="120" w:before="280"/>
      <w:outlineLvl w:val="0"/>
    </w:pPr>
    <w:rPr>
      <w:b/>
      <w:bCs/>
      <w:color w:val="1D4E89"/>
      <w:sz w:val="28"/>
      <w:szCs w:val="28"/>
    </w:rPr>
  </w:style>
  <w:style w:type="paragraph" w:styleId="Heading2">
    <w:name w:val="Heading 2"/>
    <w:basedOn w:val="Normal"/>
    <w:next w:val="Normal"/>
    <w:qFormat/>
    <w:pPr>
      <w:keepNext/>
      <w:keepLines/>
      <w:spacing w:after="100" w:before="200"/>
      <w:outlineLvl w:val="1"/>
    </w:pPr>
    <w:rPr>
      <w:b/>
      <w:bCs/>
      <w:color w:val="1F2933"/>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sfvmuprb352lhjnlyd7e6" Type="http://schemas.openxmlformats.org/officeDocument/2006/relationships/hyperlink" Target="https://help.boomi.com/docs/Atomsphere/Integration/MFT/boomi_mft" TargetMode="External"/><Relationship Id="rIdvfow8n5yit6te9draoycn" Type="http://schemas.openxmlformats.org/officeDocument/2006/relationships/hyperlink" Target="https://help.boomi.com/docs/Atomsphere/Integration/MFT/AutomatedFileTransfer/aft" TargetMode="External"/><Relationship Id="rIdlziphzxwgjj3w-yomst_s" Type="http://schemas.openxmlformats.org/officeDocument/2006/relationships/hyperlink" Target="https://help.boomi.com/docs/Atomsphere/Integration/MFT/AutomatedFileTransfer/user-guide/organizations/endpoint-types/" TargetMode="External"/><Relationship Id="rIdiynupa6i1wb6fjx18urww" Type="http://schemas.openxmlformats.org/officeDocument/2006/relationships/hyperlink" Target="https://help.boomi.com/docs/Atomsphere/Integration/MFT/AutomatedFileTransfer/user-guide/organizations/mftnodes/" TargetMode="External"/><Relationship Id="rIdul2c_snz_jam_yxw6khn4" Type="http://schemas.openxmlformats.org/officeDocument/2006/relationships/hyperlink" Target="https://help.boomi.com/docs/Atomsphere/Integration/MFT/AutomatedFileTransfer/user-guide/mft-node-runtime/" TargetMode="External"/><Relationship Id="rId1isceqvvjwsqmwhr1rbyf" Type="http://schemas.openxmlformats.org/officeDocument/2006/relationships/hyperlink" Target="https://help.boomi.com/docs/Atomsphere/Integration/MFT/FileSharing/FileSharingUserGuide/file-sharing-user-guide" TargetMode="External"/><Relationship Id="rIdvfcuimwi1te6t40vtojae" Type="http://schemas.openxmlformats.org/officeDocument/2006/relationships/hyperlink" Target="https://help.boomi.com/docs/Atomsphere/Integration/MFT/FileSharing/AdministrationGuide/administration-guide" TargetMode="External"/><Relationship Id="rIdxe3vnk7g7i7rrmwdvlsan" Type="http://schemas.openxmlformats.org/officeDocument/2006/relationships/hyperlink" Target="https://boomi.com/ja/blog/boomi-product-roadmap-q3-2026-everything-you-want-to-know/" TargetMode="External"/><Relationship Id="rId9" Type="http://schemas.openxmlformats.org/officeDocument/2006/relationships/image" Target="media/7ad930d2eae37ccfb46d3e2ff331d54c45b31f2a.png"/><Relationship Id="rId10" Type="http://schemas.openxmlformats.org/officeDocument/2006/relationships/image" Target="media/1d65a3f1f787aeb0e40bf8566a4e37a745c8211b.png"/><Relationship Id="rId11" Type="http://schemas.openxmlformats.org/officeDocument/2006/relationships/image" Target="media/2ba8440231ec08eda7bcdd3265856dc93dbaff3d.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Boomi MFT Platform: Overview, AFT and FS</dc:title>
  <dc:creator>Integration Architect</dc:creator>
  <cp:lastModifiedBy>Un-named</cp:lastModifiedBy>
  <cp:revision>1</cp:revision>
  <dcterms:created xsi:type="dcterms:W3CDTF">2026-10-23T10:48:58.989Z</dcterms:created>
  <dcterms:modified xsi:type="dcterms:W3CDTF">2026-10-23T10:48:58.989Z</dcterms:modified>
</cp:coreProperties>
</file>

<file path=docProps/custom.xml><?xml version="1.0" encoding="utf-8"?>
<Properties xmlns="http://schemas.openxmlformats.org/officeDocument/2006/custom-properties" xmlns:vt="http://schemas.openxmlformats.org/officeDocument/2006/docPropsVTypes"/>
</file>