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Async API Integration Patterns</w:t>
      </w:r>
    </w:p>
    <w:p>
      <w:pPr>
        <w:pStyle w:val="Subtitle"/>
      </w:pPr>
      <w:r>
        <w:t>Companion note to the Integration Modernisation catalogue — maps onto the canonical K1–K8 pattern set</w:t>
      </w:r>
    </w:p>
    <w:p>
      <w:r>
        <w:t>AsyncAPI is the event-driven counterpart to OpenAPI: a contract format for describing topics, channels, message schemas and protocol bindings (Kafka, AMQP, MQTT, and similar). The integration patterns it is used to describe map onto a small set of classic asynchronous messaging patterns — four of which are already canonical in this catalogue as K1–K4, alongside K6 for the related read-model case.</w:t>
      </w:r>
    </w:p>
    <w:p>
      <w:pPr>
        <w:pStyle w:val="Heading1"/>
      </w:pPr>
      <w:r>
        <w:t>Pattern catalogue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w="2300" w:type="dxa"/>
            <w:shd w:val="clear" w:color="auto" w:fill="003A2A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w="4760" w:type="dxa"/>
            <w:shd w:val="clear" w:color="auto" w:fill="003A2A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w="2300" w:type="dxa"/>
            <w:shd w:val="clear" w:color="auto" w:fill="003A2A"/>
          </w:tcPr>
          <w:p>
            <w:r>
              <w:rPr>
                <w:b/>
                <w:color w:val="FFFFFF"/>
              </w:rPr>
              <w:t>Catalogue ref</w:t>
            </w:r>
          </w:p>
        </w:tc>
      </w:tr>
      <w:tr>
        <w:tc>
          <w:tcPr>
            <w:tcW w:w="2300" w:type="dxa"/>
            <w:shd w:val="clear" w:color="auto" w:fill="F2F7F5"/>
          </w:tcPr>
          <w:p>
            <w:r>
              <w:rPr>
                <w:b/>
              </w:rPr>
              <w:t>Publish/Subscribe (pub-sub)</w:t>
            </w:r>
          </w:p>
        </w:tc>
        <w:tc>
          <w:tcPr>
            <w:tcW w:w="4760" w:type="dxa"/>
            <w:shd w:val="clear" w:color="auto" w:fill="F2F7F5"/>
          </w:tcPr>
          <w:p>
            <w:r>
              <w:t>Producer emits an event to a topic; any number of consumers subscribe independently, and the producer does not know who is listening.</w:t>
            </w:r>
          </w:p>
        </w:tc>
        <w:tc>
          <w:tcPr>
            <w:tcW w:w="2300" w:type="dxa"/>
            <w:shd w:val="clear" w:color="auto" w:fill="F2F7F5"/>
          </w:tcPr>
          <w:p>
            <w:r>
              <w:rPr>
                <w:b/>
                <w:color w:val="00734F"/>
              </w:rPr>
              <w:t>K1 (publish) / K2 (subscribe)</w:t>
            </w:r>
          </w:p>
        </w:tc>
      </w:tr>
      <w:tr>
        <w:tc>
          <w:tcPr>
            <w:tcW w:w="2300" w:type="dxa"/>
          </w:tcPr>
          <w:p>
            <w:r>
              <w:rPr>
                <w:b/>
              </w:rPr>
              <w:t>Point-to-point / competing consumers</w:t>
            </w:r>
          </w:p>
        </w:tc>
        <w:tc>
          <w:tcPr>
            <w:tcW w:w="4760" w:type="dxa"/>
          </w:tcPr>
          <w:p>
            <w:r>
              <w:t>A message goes to a queue; one of several consumer instances picks it up (load-balanced, not fan-out).</w:t>
            </w:r>
          </w:p>
        </w:tc>
        <w:tc>
          <w:tcPr>
            <w:tcW w:w="2300" w:type="dxa"/>
          </w:tcPr>
          <w:p>
            <w:r>
              <w:rPr>
                <w:b/>
                <w:color w:val="00734F"/>
              </w:rPr>
              <w:t>Implicit in K1/K2, depending on topology</w:t>
            </w:r>
          </w:p>
        </w:tc>
      </w:tr>
      <w:tr>
        <w:tc>
          <w:tcPr>
            <w:tcW w:w="2300" w:type="dxa"/>
            <w:shd w:val="clear" w:color="auto" w:fill="F2F7F5"/>
          </w:tcPr>
          <w:p>
            <w:r>
              <w:rPr>
                <w:b/>
              </w:rPr>
              <w:t>Async request–reply</w:t>
            </w:r>
          </w:p>
        </w:tc>
        <w:tc>
          <w:tcPr>
            <w:tcW w:w="4760" w:type="dxa"/>
            <w:shd w:val="clear" w:color="auto" w:fill="F2F7F5"/>
          </w:tcPr>
          <w:p>
            <w:r>
              <w:t>Caller gets an immediate acknowledgement (202 Accepted + status resource), then polls or is called back (webhook) when the real result is ready.</w:t>
            </w:r>
          </w:p>
        </w:tc>
        <w:tc>
          <w:tcPr>
            <w:tcW w:w="2300" w:type="dxa"/>
            <w:shd w:val="clear" w:color="auto" w:fill="F2F7F5"/>
          </w:tcPr>
          <w:p>
            <w:r>
              <w:rPr>
                <w:b/>
                <w:color w:val="00734F"/>
              </w:rPr>
              <w:t>K3</w:t>
            </w:r>
          </w:p>
        </w:tc>
      </w:tr>
      <w:tr>
        <w:tc>
          <w:tcPr>
            <w:tcW w:w="2300" w:type="dxa"/>
          </w:tcPr>
          <w:p>
            <w:r>
              <w:rPr>
                <w:b/>
              </w:rPr>
              <w:t>Event-carried state transfer / Outbox</w:t>
            </w:r>
          </w:p>
        </w:tc>
        <w:tc>
          <w:tcPr>
            <w:tcW w:w="4760" w:type="dxa"/>
          </w:tcPr>
          <w:p>
            <w:r>
              <w:t>A state change is reliably emitted as an event as part of the same transaction, so downstream consumers never miss an update.</w:t>
            </w:r>
          </w:p>
        </w:tc>
        <w:tc>
          <w:tcPr>
            <w:tcW w:w="2300" w:type="dxa"/>
          </w:tcPr>
          <w:p>
            <w:r>
              <w:rPr>
                <w:b/>
                <w:color w:val="00734F"/>
              </w:rPr>
              <w:t>K4 (Outbox)</w:t>
            </w:r>
          </w:p>
        </w:tc>
      </w:tr>
      <w:tr>
        <w:tc>
          <w:tcPr>
            <w:tcW w:w="2300" w:type="dxa"/>
            <w:shd w:val="clear" w:color="auto" w:fill="F2F7F5"/>
          </w:tcPr>
          <w:p>
            <w:r>
              <w:rPr>
                <w:b/>
              </w:rPr>
              <w:t>Event notification vs. event-carried state transfer</w:t>
            </w:r>
          </w:p>
        </w:tc>
        <w:tc>
          <w:tcPr>
            <w:tcW w:w="4760" w:type="dxa"/>
            <w:shd w:val="clear" w:color="auto" w:fill="F2F7F5"/>
          </w:tcPr>
          <w:p>
            <w:r>
              <w:t>Notification-only event (“thing changed, go fetch it”) versus the event carrying the full changed payload.</w:t>
            </w:r>
          </w:p>
        </w:tc>
        <w:tc>
          <w:tcPr>
            <w:tcW w:w="2300" w:type="dxa"/>
            <w:shd w:val="clear" w:color="auto" w:fill="F2F7F5"/>
          </w:tcPr>
          <w:p>
            <w:r>
              <w:t>Not separately numbered — candidate variant under K1</w:t>
            </w:r>
          </w:p>
        </w:tc>
      </w:tr>
      <w:tr>
        <w:tc>
          <w:tcPr>
            <w:tcW w:w="2300" w:type="dxa"/>
          </w:tcPr>
          <w:p>
            <w:r>
              <w:rPr>
                <w:b/>
              </w:rPr>
              <w:t>CQRS / aggregated read model</w:t>
            </w:r>
          </w:p>
        </w:tc>
        <w:tc>
          <w:tcPr>
            <w:tcW w:w="4760" w:type="dxa"/>
          </w:tcPr>
          <w:p>
            <w:r>
              <w:t>Not messaging per se, but often paired with the above: consumers materialise their own read view from the event stream instead of calling back synchronously.</w:t>
            </w:r>
          </w:p>
        </w:tc>
        <w:tc>
          <w:tcPr>
            <w:tcW w:w="2300" w:type="dxa"/>
          </w:tcPr>
          <w:p>
            <w:r>
              <w:rPr>
                <w:b/>
                <w:color w:val="00734F"/>
              </w:rPr>
              <w:t>K6</w:t>
            </w:r>
          </w:p>
        </w:tc>
      </w:tr>
      <w:tr>
        <w:tc>
          <w:tcPr>
            <w:tcW w:w="2300" w:type="dxa"/>
            <w:shd w:val="clear" w:color="auto" w:fill="F2F7F5"/>
          </w:tcPr>
          <w:p>
            <w:r>
              <w:rPr>
                <w:b/>
              </w:rPr>
              <w:t>Dead-letter queue + replay</w:t>
            </w:r>
          </w:p>
        </w:tc>
        <w:tc>
          <w:tcPr>
            <w:tcW w:w="4760" w:type="dxa"/>
            <w:shd w:val="clear" w:color="auto" w:fill="F2F7F5"/>
          </w:tcPr>
          <w:p>
            <w:r>
              <w:t>Failure/retry handling for any of the above — poison messages routed to a DLQ, with replay supported from the log.</w:t>
            </w:r>
          </w:p>
        </w:tc>
        <w:tc>
          <w:tcPr>
            <w:tcW w:w="2300" w:type="dxa"/>
            <w:shd w:val="clear" w:color="auto" w:fill="F2F7F5"/>
          </w:tcPr>
          <w:p>
            <w:r>
              <w:t>Required under G3, not its own K-number</w:t>
            </w:r>
          </w:p>
        </w:tc>
      </w:tr>
    </w:tbl>
    <w:p>
      <w:pPr>
        <w:pStyle w:val="Heading1"/>
      </w:pPr>
      <w:r>
        <w:t>Note</w:t>
      </w:r>
    </w:p>
    <w:p>
      <w:r>
        <w:t>If formalised, “event notification vs. event-carried state transfer” is the natural next addition to the K-series — sitting alongside K1 as a variant rather than as a new pattern number.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GB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">
    <w:name w:val="Title"/>
    <w:basedOn w:val="Normal"/>
    <w:qFormat/>
    <w:pPr>
      <w:spacing w:after="60"/>
    </w:pPr>
    <w:rPr>
      <w:rFonts w:ascii="Calibri" w:hAnsi="Calibri"/>
      <w:b/>
      <w:color w:val="003A2A"/>
      <w:sz w:val="40"/>
    </w:rPr>
  </w:style>
  <w:style w:type="paragraph" w:styleId="Subtitle">
    <w:name w:val="Subtitle"/>
    <w:basedOn w:val="Normal"/>
    <w:qFormat/>
    <w:pPr>
      <w:spacing w:after="240"/>
    </w:pPr>
    <w:rPr>
      <w:rFonts w:ascii="Calibri" w:hAnsi="Calibri"/>
      <w:i/>
      <w:color w:val="595959"/>
      <w:sz w:val="22"/>
    </w:rPr>
  </w:style>
  <w:style w:type="paragraph" w:styleId="Heading1">
    <w:name w:val="heading 1"/>
    <w:basedOn w:val="Normal"/>
    <w:qFormat/>
    <w:pPr>
      <w:spacing w:before="240" w:after="120"/>
      <w:pBdr>
        <w:bottom w:val="single" w:sz="12" w:space="4" w:color="00B388"/>
      </w:pBdr>
    </w:pPr>
    <w:rPr>
      <w:rFonts w:ascii="Calibri" w:hAnsi="Calibri"/>
      <w:b/>
      <w:color w:val="1B1B1B"/>
      <w:sz w:val="28"/>
    </w:rPr>
  </w:style>
  <w:style w:type="paragraph" w:styleId="Heading2">
    <w:name w:val="heading 2"/>
    <w:basedOn w:val="Normal"/>
    <w:qFormat/>
    <w:pPr>
      <w:spacing w:before="200" w:after="80"/>
    </w:pPr>
    <w:rPr>
      <w:rFonts w:ascii="Calibri" w:hAnsi="Calibri"/>
      <w:b/>
      <w:color w:val="00734F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Async API Integration Patterns</dc:title>
  <dc:creator>HMRC Boomi Integration Pattern Catalogue</dc:creator>
  <cp:lastModifiedBy>HMRC Boomi Integration Pattern Catalogue</cp:lastModifiedBy>
  <dcterms:created xsi:type="dcterms:W3CDTF">2026-07-02T00:00:00Z</dcterms:created>
  <dcterms:modified xsi:type="dcterms:W3CDTF">2026-07-02T00:00:00Z</dcterms:modified>
</cp:coreProperties>
</file>