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5b6572"/>
          <w:sz w:val="28"/>
          <w:szCs w:val="28"/>
        </w:rPr>
        <w:t xml:space="preserve">HM Revenue &amp; Customs</w:t>
      </w:r>
    </w:p>
    <w:p>
      <w:pPr>
        <w:spacing w:before="200"/>
        <w:jc w:val="center"/>
      </w:pPr>
      <w:r>
        <w:rPr>
          <w:b/>
          <w:bCs/>
          <w:color w:val="0F2E4D"/>
          <w:sz w:val="50"/>
          <w:szCs w:val="50"/>
        </w:rPr>
        <w:t xml:space="preserve">Managed File Transfer on Boomi</w:t>
      </w:r>
    </w:p>
    <w:p>
      <w:pPr>
        <w:spacing w:before="140"/>
        <w:jc w:val="center"/>
      </w:pPr>
      <w:r>
        <w:rPr>
          <w:b/>
          <w:bCs/>
          <w:color w:val="1b4d6b"/>
          <w:sz w:val="38"/>
          <w:szCs w:val="38"/>
        </w:rPr>
        <w:t xml:space="preserve">Strategic Question Framework</w:t>
      </w:r>
    </w:p>
    <w:p>
      <w:pPr>
        <w:spacing w:before="120"/>
        <w:jc w:val="center"/>
      </w:pPr>
      <w:r>
        <w:rPr>
          <w:color w:val="5b6572"/>
          <w:sz w:val="24"/>
          <w:szCs w:val="24"/>
        </w:rPr>
        <w:t xml:space="preserve">The decisions the programme needs to make, in priority order</w:t>
      </w:r>
    </w:p>
    <w:p>
      <w:pPr>
        <w:spacing w:before="900"/>
        <w:jc w:val="center"/>
      </w:pPr>
      <w:r>
        <w:rPr>
          <w:color w:val="5b6572"/>
          <w:sz w:val="22"/>
          <w:szCs w:val="22"/>
        </w:rPr>
        <w:t xml:space="preserve">v1.0 · July 2026</w:t>
      </w:r>
    </w:p>
    <w:p>
      <w:r>
        <w:br w:type="page"/>
      </w:r>
    </w:p>
    <w:p>
      <w:pPr>
        <w:pStyle w:val="Heading1"/>
      </w:pPr>
      <w:r>
        <w:rPr>
          <w:b/>
          <w:bCs/>
          <w:color w:val="0F2E4D"/>
        </w:rPr>
        <w:t xml:space="preserve">How to use this framework</w:t>
      </w:r>
    </w:p>
    <w:p>
      <w:pPr>
        <w:spacing w:after="100"/>
      </w:pPr>
      <w:r>
        <w:t xml:space="preserve">This framework sets out the strategic questions worth resolving early as the Boomi Managed File Transfer (MFT) programme onboards. It is organised into eight themes. Each theme lists the sharp questions to put to stakeholders, why the theme matters, and a suggested default position to react against — a starting point, not a decision already taken.</w:t>
      </w:r>
    </w:p>
    <w:p>
      <w:pPr>
        <w:spacing w:after="100"/>
      </w:pPr>
      <w:r>
        <w:t xml:space="preserve">Six of the themes are flagged as "decide first": they gate other work and are expensive to reverse. Resolve those before committing to build beyond the first pilot interface. The remaining themes can be settled in parallel as design matures.</w:t>
      </w:r>
    </w:p>
    <w:p>
      <w:pPr>
        <w:spacing w:after="100"/>
      </w:pPr>
      <w:r>
        <w:rPr>
          <w:b/>
          <w:bCs/>
          <w:color w:val="0F2E4D"/>
        </w:rPr>
        <w:t xml:space="preserve">Note. </w:t>
      </w:r>
      <w:r>
        <w:t xml:space="preserve">Boomi's native MFT is based on the Thru, Inc. technology acquired in May 2025 (Organizations / Flows / Endpoints, Automated File Transfer vs File Sharing, Management and Data channels, Activity-Page monitoring). Where a suggested position references node-local staging or config-driven provisioning, it reflects that platform reality.</w:t>
      </w:r>
    </w:p>
    <w:p>
      <w:r>
        <w:br w:type="page"/>
      </w:r>
    </w:p>
    <w:p>
      <w:pPr>
        <w:pStyle w:val="Heading1"/>
      </w:pPr>
      <w:r>
        <w:rPr>
          <w:b/>
          <w:bCs/>
          <w:color w:val="0F2E4D"/>
        </w:rPr>
        <w:t xml:space="preserve">The decide-first set</w:t>
      </w:r>
    </w:p>
    <w:p>
      <w:pPr>
        <w:spacing w:after="100"/>
      </w:pPr>
      <w:r>
        <w:t xml:space="preserve">These six decisions gate the rest of the programme. Sequence them roughly in this order: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4200"/>
        <w:gridCol w:w="3900"/>
      </w:tblGrid>
      <w:tr>
        <w:trPr>
          <w:tblHeader/>
        </w:trPr>
        <w:tc>
          <w:tcPr>
            <w:tcW w:type="dxa" w:w="700"/>
            <w:shd w:fill="0F2E4D" w:color="auto" w:val="clear"/>
            <w:tcMar>
              <w:top w:type="dxa" w:w="40"/>
              <w:left w:type="dxa" w:w="80"/>
              <w:bottom w:type="dxa" w:w="40"/>
              <w:right w:type="dxa" w:w="80"/>
            </w:tcMar>
          </w:tcPr>
          <w:p>
            <w:pPr>
              <w:jc w:val="left"/>
            </w:pPr>
            <w:r>
              <w:rPr>
                <w:b/>
                <w:bCs/>
                <w:color w:val="FFFFFF"/>
                <w:sz w:val="18"/>
                <w:szCs w:val="18"/>
              </w:rPr>
              <w:t xml:space="preserve">#</w:t>
            </w:r>
          </w:p>
        </w:tc>
        <w:tc>
          <w:tcPr>
            <w:tcW w:type="dxa" w:w="1200"/>
            <w:shd w:fill="0F2E4D" w:color="auto" w:val="clear"/>
            <w:tcMar>
              <w:top w:type="dxa" w:w="40"/>
              <w:left w:type="dxa" w:w="80"/>
              <w:bottom w:type="dxa" w:w="40"/>
              <w:right w:type="dxa" w:w="80"/>
            </w:tcMar>
          </w:tcPr>
          <w:p>
            <w:pPr>
              <w:jc w:val="left"/>
            </w:pPr>
            <w:r>
              <w:rPr>
                <w:b/>
                <w:bCs/>
                <w:color w:val="FFFFFF"/>
                <w:sz w:val="18"/>
                <w:szCs w:val="18"/>
              </w:rPr>
              <w:t xml:space="preserve">Theme</w:t>
            </w:r>
          </w:p>
        </w:tc>
        <w:tc>
          <w:tcPr>
            <w:tcW w:type="dxa" w:w="4200"/>
            <w:shd w:fill="0F2E4D" w:color="auto" w:val="clear"/>
            <w:tcMar>
              <w:top w:type="dxa" w:w="40"/>
              <w:left w:type="dxa" w:w="80"/>
              <w:bottom w:type="dxa" w:w="40"/>
              <w:right w:type="dxa" w:w="80"/>
            </w:tcMar>
          </w:tcPr>
          <w:p>
            <w:pPr>
              <w:jc w:val="left"/>
            </w:pPr>
            <w:r>
              <w:rPr>
                <w:b/>
                <w:bCs/>
                <w:color w:val="FFFFFF"/>
                <w:sz w:val="18"/>
                <w:szCs w:val="18"/>
              </w:rPr>
              <w:t xml:space="preserve">Decision</w:t>
            </w:r>
          </w:p>
        </w:tc>
        <w:tc>
          <w:tcPr>
            <w:tcW w:type="dxa" w:w="3900"/>
            <w:shd w:fill="0F2E4D" w:color="auto" w:val="clear"/>
            <w:tcMar>
              <w:top w:type="dxa" w:w="40"/>
              <w:left w:type="dxa" w:w="80"/>
              <w:bottom w:type="dxa" w:w="40"/>
              <w:right w:type="dxa" w:w="80"/>
            </w:tcMar>
          </w:tcPr>
          <w:p>
            <w:pPr>
              <w:jc w:val="left"/>
            </w:pPr>
            <w:r>
              <w:rPr>
                <w:b/>
                <w:bCs/>
                <w:color w:val="FFFFFF"/>
                <w:sz w:val="18"/>
                <w:szCs w:val="18"/>
              </w:rPr>
              <w:t xml:space="preserve">Why it goes first</w:t>
            </w:r>
          </w:p>
        </w:tc>
      </w:tr>
      <w:tr>
        <w:tc>
          <w:tcPr>
            <w:tcW w:type="dxa" w:w="700"/>
            <w:tcMar>
              <w:top w:type="dxa" w:w="40"/>
              <w:left w:type="dxa" w:w="80"/>
              <w:bottom w:type="dxa" w:w="40"/>
              <w:right w:type="dxa" w:w="80"/>
            </w:tcMar>
          </w:tcPr>
          <w:p>
            <w:pPr>
              <w:jc w:val="center"/>
            </w:pPr>
            <w:r>
              <w:rPr>
                <w:b/>
                <w:bCs/>
                <w:color w:val="b8860b"/>
                <w:sz w:val="18"/>
                <w:szCs w:val="18"/>
              </w:rPr>
              <w:t xml:space="preserve">1</w:t>
            </w:r>
          </w:p>
        </w:tc>
        <w:tc>
          <w:tcPr>
            <w:tcW w:type="dxa" w:w="1200"/>
            <w:tcMar>
              <w:top w:type="dxa" w:w="40"/>
              <w:left w:type="dxa" w:w="80"/>
              <w:bottom w:type="dxa" w:w="40"/>
              <w:right w:type="dxa" w:w="80"/>
            </w:tcMar>
          </w:tcPr>
          <w:p>
            <w:pPr>
              <w:jc w:val="left"/>
            </w:pPr>
            <w:r>
              <w:rPr>
                <w:b/>
                <w:bCs/>
                <w:color w:val="0F2E4D"/>
                <w:sz w:val="18"/>
                <w:szCs w:val="18"/>
              </w:rPr>
              <w:t xml:space="preserve">A / G</w:t>
            </w:r>
          </w:p>
        </w:tc>
        <w:tc>
          <w:tcPr>
            <w:tcW w:type="dxa" w:w="4200"/>
            <w:tcMar>
              <w:top w:type="dxa" w:w="40"/>
              <w:left w:type="dxa" w:w="80"/>
              <w:bottom w:type="dxa" w:w="40"/>
              <w:right w:type="dxa" w:w="80"/>
            </w:tcMar>
          </w:tcPr>
          <w:p>
            <w:pPr>
              <w:jc w:val="left"/>
            </w:pPr>
            <w:r>
              <w:rPr>
                <w:b/>
                <w:bCs/>
                <w:color w:val="000000"/>
                <w:sz w:val="18"/>
                <w:szCs w:val="18"/>
              </w:rPr>
              <w:t xml:space="preserve">Operating model &amp; the self-service automation boundary</w:t>
            </w:r>
          </w:p>
        </w:tc>
        <w:tc>
          <w:tcPr>
            <w:tcW w:type="dxa" w:w="3900"/>
            <w:tcMar>
              <w:top w:type="dxa" w:w="40"/>
              <w:left w:type="dxa" w:w="80"/>
              <w:bottom w:type="dxa" w:w="40"/>
              <w:right w:type="dxa" w:w="80"/>
            </w:tcMar>
          </w:tcPr>
          <w:p>
            <w:pPr>
              <w:jc w:val="left"/>
            </w:pPr>
            <w:r>
              <w:rPr>
                <w:b w:val="false"/>
                <w:bCs w:val="false"/>
                <w:color w:val="000000"/>
                <w:sz w:val="18"/>
                <w:szCs w:val="18"/>
              </w:rPr>
              <w:t xml:space="preserve">Shapes Intelligrator guardrails and the platform team — everything inherits from it.</w:t>
            </w:r>
          </w:p>
        </w:tc>
      </w:tr>
      <w:tr>
        <w:tc>
          <w:tcPr>
            <w:tcW w:type="dxa" w:w="700"/>
            <w:tcMar>
              <w:top w:type="dxa" w:w="40"/>
              <w:left w:type="dxa" w:w="80"/>
              <w:bottom w:type="dxa" w:w="40"/>
              <w:right w:type="dxa" w:w="80"/>
            </w:tcMar>
          </w:tcPr>
          <w:p>
            <w:pPr>
              <w:jc w:val="center"/>
            </w:pPr>
            <w:r>
              <w:rPr>
                <w:b/>
                <w:bCs/>
                <w:color w:val="b8860b"/>
                <w:sz w:val="18"/>
                <w:szCs w:val="18"/>
              </w:rPr>
              <w:t xml:space="preserve">2</w:t>
            </w:r>
          </w:p>
        </w:tc>
        <w:tc>
          <w:tcPr>
            <w:tcW w:type="dxa" w:w="1200"/>
            <w:tcMar>
              <w:top w:type="dxa" w:w="40"/>
              <w:left w:type="dxa" w:w="80"/>
              <w:bottom w:type="dxa" w:w="40"/>
              <w:right w:type="dxa" w:w="80"/>
            </w:tcMar>
          </w:tcPr>
          <w:p>
            <w:pPr>
              <w:jc w:val="left"/>
            </w:pPr>
            <w:r>
              <w:rPr>
                <w:b/>
                <w:bCs/>
                <w:color w:val="0F2E4D"/>
                <w:sz w:val="18"/>
                <w:szCs w:val="18"/>
              </w:rPr>
              <w:t xml:space="preserve">B</w:t>
            </w:r>
          </w:p>
        </w:tc>
        <w:tc>
          <w:tcPr>
            <w:tcW w:type="dxa" w:w="4200"/>
            <w:tcMar>
              <w:top w:type="dxa" w:w="40"/>
              <w:left w:type="dxa" w:w="80"/>
              <w:bottom w:type="dxa" w:w="40"/>
              <w:right w:type="dxa" w:w="80"/>
            </w:tcMar>
          </w:tcPr>
          <w:p>
            <w:pPr>
              <w:jc w:val="left"/>
            </w:pPr>
            <w:r>
              <w:rPr>
                <w:b/>
                <w:bCs/>
                <w:color w:val="000000"/>
                <w:sz w:val="18"/>
                <w:szCs w:val="18"/>
              </w:rPr>
              <w:t xml:space="preserve">Pattern boundary — what belongs on MFT</w:t>
            </w:r>
          </w:p>
        </w:tc>
        <w:tc>
          <w:tcPr>
            <w:tcW w:type="dxa" w:w="3900"/>
            <w:tcMar>
              <w:top w:type="dxa" w:w="40"/>
              <w:left w:type="dxa" w:w="80"/>
              <w:bottom w:type="dxa" w:w="40"/>
              <w:right w:type="dxa" w:w="80"/>
            </w:tcMar>
          </w:tcPr>
          <w:p>
            <w:pPr>
              <w:jc w:val="left"/>
            </w:pPr>
            <w:r>
              <w:rPr>
                <w:b w:val="false"/>
                <w:bCs w:val="false"/>
                <w:color w:val="000000"/>
                <w:sz w:val="18"/>
                <w:szCs w:val="18"/>
              </w:rPr>
              <w:t xml:space="preserve">Controls demand and keeps MFT from becoming a catch-all; sets catalogue placement.</w:t>
            </w:r>
          </w:p>
        </w:tc>
      </w:tr>
      <w:tr>
        <w:tc>
          <w:tcPr>
            <w:tcW w:type="dxa" w:w="700"/>
            <w:tcMar>
              <w:top w:type="dxa" w:w="40"/>
              <w:left w:type="dxa" w:w="80"/>
              <w:bottom w:type="dxa" w:w="40"/>
              <w:right w:type="dxa" w:w="80"/>
            </w:tcMar>
          </w:tcPr>
          <w:p>
            <w:pPr>
              <w:jc w:val="center"/>
            </w:pPr>
            <w:r>
              <w:rPr>
                <w:b/>
                <w:bCs/>
                <w:color w:val="b8860b"/>
                <w:sz w:val="18"/>
                <w:szCs w:val="18"/>
              </w:rPr>
              <w:t xml:space="preserve">3</w:t>
            </w:r>
          </w:p>
        </w:tc>
        <w:tc>
          <w:tcPr>
            <w:tcW w:type="dxa" w:w="1200"/>
            <w:tcMar>
              <w:top w:type="dxa" w:w="40"/>
              <w:left w:type="dxa" w:w="80"/>
              <w:bottom w:type="dxa" w:w="40"/>
              <w:right w:type="dxa" w:w="80"/>
            </w:tcMar>
          </w:tcPr>
          <w:p>
            <w:pPr>
              <w:jc w:val="left"/>
            </w:pPr>
            <w:r>
              <w:rPr>
                <w:b/>
                <w:bCs/>
                <w:color w:val="0F2E4D"/>
                <w:sz w:val="18"/>
                <w:szCs w:val="18"/>
              </w:rPr>
              <w:t xml:space="preserve">C</w:t>
            </w:r>
          </w:p>
        </w:tc>
        <w:tc>
          <w:tcPr>
            <w:tcW w:type="dxa" w:w="4200"/>
            <w:tcMar>
              <w:top w:type="dxa" w:w="40"/>
              <w:left w:type="dxa" w:w="80"/>
              <w:bottom w:type="dxa" w:w="40"/>
              <w:right w:type="dxa" w:w="80"/>
            </w:tcMar>
          </w:tcPr>
          <w:p>
            <w:pPr>
              <w:jc w:val="left"/>
            </w:pPr>
            <w:r>
              <w:rPr>
                <w:b/>
                <w:bCs/>
                <w:color w:val="000000"/>
                <w:sz w:val="18"/>
                <w:szCs w:val="18"/>
              </w:rPr>
              <w:t xml:space="preserve">Legacy migration &amp; coexistence approach</w:t>
            </w:r>
          </w:p>
        </w:tc>
        <w:tc>
          <w:tcPr>
            <w:tcW w:type="dxa" w:w="3900"/>
            <w:tcMar>
              <w:top w:type="dxa" w:w="40"/>
              <w:left w:type="dxa" w:w="80"/>
              <w:bottom w:type="dxa" w:w="40"/>
              <w:right w:type="dxa" w:w="80"/>
            </w:tcMar>
          </w:tcPr>
          <w:p>
            <w:pPr>
              <w:jc w:val="left"/>
            </w:pPr>
            <w:r>
              <w:rPr>
                <w:b w:val="false"/>
                <w:bCs w:val="false"/>
                <w:color w:val="000000"/>
                <w:sz w:val="18"/>
                <w:szCs w:val="18"/>
              </w:rPr>
              <w:t xml:space="preserve">Drives the roadmap, decommissioning, and partner impact.</w:t>
            </w:r>
          </w:p>
        </w:tc>
      </w:tr>
      <w:tr>
        <w:tc>
          <w:tcPr>
            <w:tcW w:type="dxa" w:w="700"/>
            <w:tcMar>
              <w:top w:type="dxa" w:w="40"/>
              <w:left w:type="dxa" w:w="80"/>
              <w:bottom w:type="dxa" w:w="40"/>
              <w:right w:type="dxa" w:w="80"/>
            </w:tcMar>
          </w:tcPr>
          <w:p>
            <w:pPr>
              <w:jc w:val="center"/>
            </w:pPr>
            <w:r>
              <w:rPr>
                <w:b/>
                <w:bCs/>
                <w:color w:val="b8860b"/>
                <w:sz w:val="18"/>
                <w:szCs w:val="18"/>
              </w:rPr>
              <w:t xml:space="preserve">4</w:t>
            </w:r>
          </w:p>
        </w:tc>
        <w:tc>
          <w:tcPr>
            <w:tcW w:type="dxa" w:w="1200"/>
            <w:tcMar>
              <w:top w:type="dxa" w:w="40"/>
              <w:left w:type="dxa" w:w="80"/>
              <w:bottom w:type="dxa" w:w="40"/>
              <w:right w:type="dxa" w:w="80"/>
            </w:tcMar>
          </w:tcPr>
          <w:p>
            <w:pPr>
              <w:jc w:val="left"/>
            </w:pPr>
            <w:r>
              <w:rPr>
                <w:b/>
                <w:bCs/>
                <w:color w:val="0F2E4D"/>
                <w:sz w:val="18"/>
                <w:szCs w:val="18"/>
              </w:rPr>
              <w:t xml:space="preserve">E</w:t>
            </w:r>
          </w:p>
        </w:tc>
        <w:tc>
          <w:tcPr>
            <w:tcW w:type="dxa" w:w="4200"/>
            <w:tcMar>
              <w:top w:type="dxa" w:w="40"/>
              <w:left w:type="dxa" w:w="80"/>
              <w:bottom w:type="dxa" w:w="40"/>
              <w:right w:type="dxa" w:w="80"/>
            </w:tcMar>
          </w:tcPr>
          <w:p>
            <w:pPr>
              <w:jc w:val="left"/>
            </w:pPr>
            <w:r>
              <w:rPr>
                <w:b/>
                <w:bCs/>
                <w:color w:val="000000"/>
                <w:sz w:val="18"/>
                <w:szCs w:val="18"/>
              </w:rPr>
              <w:t xml:space="preserve">Data residency, classification &amp; security bar</w:t>
            </w:r>
          </w:p>
        </w:tc>
        <w:tc>
          <w:tcPr>
            <w:tcW w:type="dxa" w:w="3900"/>
            <w:tcMar>
              <w:top w:type="dxa" w:w="40"/>
              <w:left w:type="dxa" w:w="80"/>
              <w:bottom w:type="dxa" w:w="40"/>
              <w:right w:type="dxa" w:w="80"/>
            </w:tcMar>
          </w:tcPr>
          <w:p>
            <w:pPr>
              <w:jc w:val="left"/>
            </w:pPr>
            <w:r>
              <w:rPr>
                <w:b w:val="false"/>
                <w:bCs w:val="false"/>
                <w:color w:val="000000"/>
                <w:sz w:val="18"/>
                <w:szCs w:val="18"/>
              </w:rPr>
              <w:t xml:space="preserve">Hard go-live gate, especially for tax data; constrains hosting.</w:t>
            </w:r>
          </w:p>
        </w:tc>
      </w:tr>
      <w:tr>
        <w:tc>
          <w:tcPr>
            <w:tcW w:type="dxa" w:w="700"/>
            <w:tcMar>
              <w:top w:type="dxa" w:w="40"/>
              <w:left w:type="dxa" w:w="80"/>
              <w:bottom w:type="dxa" w:w="40"/>
              <w:right w:type="dxa" w:w="80"/>
            </w:tcMar>
          </w:tcPr>
          <w:p>
            <w:pPr>
              <w:jc w:val="center"/>
            </w:pPr>
            <w:r>
              <w:rPr>
                <w:b/>
                <w:bCs/>
                <w:color w:val="b8860b"/>
                <w:sz w:val="18"/>
                <w:szCs w:val="18"/>
              </w:rPr>
              <w:t xml:space="preserve">5</w:t>
            </w:r>
          </w:p>
        </w:tc>
        <w:tc>
          <w:tcPr>
            <w:tcW w:type="dxa" w:w="1200"/>
            <w:tcMar>
              <w:top w:type="dxa" w:w="40"/>
              <w:left w:type="dxa" w:w="80"/>
              <w:bottom w:type="dxa" w:w="40"/>
              <w:right w:type="dxa" w:w="80"/>
            </w:tcMar>
          </w:tcPr>
          <w:p>
            <w:pPr>
              <w:jc w:val="left"/>
            </w:pPr>
            <w:r>
              <w:rPr>
                <w:b/>
                <w:bCs/>
                <w:color w:val="0F2E4D"/>
                <w:sz w:val="18"/>
                <w:szCs w:val="18"/>
              </w:rPr>
              <w:t xml:space="preserve">F</w:t>
            </w:r>
          </w:p>
        </w:tc>
        <w:tc>
          <w:tcPr>
            <w:tcW w:type="dxa" w:w="4200"/>
            <w:tcMar>
              <w:top w:type="dxa" w:w="40"/>
              <w:left w:type="dxa" w:w="80"/>
              <w:bottom w:type="dxa" w:w="40"/>
              <w:right w:type="dxa" w:w="80"/>
            </w:tcMar>
          </w:tcPr>
          <w:p>
            <w:pPr>
              <w:jc w:val="left"/>
            </w:pPr>
            <w:r>
              <w:rPr>
                <w:b/>
                <w:bCs/>
                <w:color w:val="000000"/>
                <w:sz w:val="18"/>
                <w:szCs w:val="18"/>
              </w:rPr>
              <w:t xml:space="preserve">HA topology &amp; file-staging design</w:t>
            </w:r>
          </w:p>
        </w:tc>
        <w:tc>
          <w:tcPr>
            <w:tcW w:type="dxa" w:w="3900"/>
            <w:tcMar>
              <w:top w:type="dxa" w:w="40"/>
              <w:left w:type="dxa" w:w="80"/>
              <w:bottom w:type="dxa" w:w="40"/>
              <w:right w:type="dxa" w:w="80"/>
            </w:tcMar>
          </w:tcPr>
          <w:p>
            <w:pPr>
              <w:jc w:val="left"/>
            </w:pPr>
            <w:r>
              <w:rPr>
                <w:b w:val="false"/>
                <w:bCs w:val="false"/>
                <w:color w:val="000000"/>
                <w:sz w:val="18"/>
                <w:szCs w:val="18"/>
              </w:rPr>
              <w:t xml:space="preserve">Foundational and hard to reverse; node-local staging is a known trap.</w:t>
            </w:r>
          </w:p>
        </w:tc>
      </w:tr>
      <w:tr>
        <w:tc>
          <w:tcPr>
            <w:tcW w:type="dxa" w:w="700"/>
            <w:tcMar>
              <w:top w:type="dxa" w:w="40"/>
              <w:left w:type="dxa" w:w="80"/>
              <w:bottom w:type="dxa" w:w="40"/>
              <w:right w:type="dxa" w:w="80"/>
            </w:tcMar>
          </w:tcPr>
          <w:p>
            <w:pPr>
              <w:jc w:val="center"/>
            </w:pPr>
            <w:r>
              <w:rPr>
                <w:b/>
                <w:bCs/>
                <w:color w:val="b8860b"/>
                <w:sz w:val="18"/>
                <w:szCs w:val="18"/>
              </w:rPr>
              <w:t xml:space="preserve">6</w:t>
            </w:r>
          </w:p>
        </w:tc>
        <w:tc>
          <w:tcPr>
            <w:tcW w:type="dxa" w:w="1200"/>
            <w:tcMar>
              <w:top w:type="dxa" w:w="40"/>
              <w:left w:type="dxa" w:w="80"/>
              <w:bottom w:type="dxa" w:w="40"/>
              <w:right w:type="dxa" w:w="80"/>
            </w:tcMar>
          </w:tcPr>
          <w:p>
            <w:pPr>
              <w:jc w:val="left"/>
            </w:pPr>
            <w:r>
              <w:rPr>
                <w:b/>
                <w:bCs/>
                <w:color w:val="0F2E4D"/>
                <w:sz w:val="18"/>
                <w:szCs w:val="18"/>
              </w:rPr>
              <w:t xml:space="preserve">G</w:t>
            </w:r>
          </w:p>
        </w:tc>
        <w:tc>
          <w:tcPr>
            <w:tcW w:type="dxa" w:w="4200"/>
            <w:tcMar>
              <w:top w:type="dxa" w:w="40"/>
              <w:left w:type="dxa" w:w="80"/>
              <w:bottom w:type="dxa" w:w="40"/>
              <w:right w:type="dxa" w:w="80"/>
            </w:tcMar>
          </w:tcPr>
          <w:p>
            <w:pPr>
              <w:jc w:val="left"/>
            </w:pPr>
            <w:r>
              <w:rPr>
                <w:b/>
                <w:bCs/>
                <w:color w:val="000000"/>
                <w:sz w:val="18"/>
                <w:szCs w:val="18"/>
              </w:rPr>
              <w:t xml:space="preserve">Environment promotion / config-as-code</w:t>
            </w:r>
          </w:p>
        </w:tc>
        <w:tc>
          <w:tcPr>
            <w:tcW w:type="dxa" w:w="3900"/>
            <w:tcMar>
              <w:top w:type="dxa" w:w="40"/>
              <w:left w:type="dxa" w:w="80"/>
              <w:bottom w:type="dxa" w:w="40"/>
              <w:right w:type="dxa" w:w="80"/>
            </w:tcMar>
          </w:tcPr>
          <w:p>
            <w:pPr>
              <w:jc w:val="left"/>
            </w:pPr>
            <w:r>
              <w:rPr>
                <w:b w:val="false"/>
                <w:bCs w:val="false"/>
                <w:color w:val="000000"/>
                <w:sz w:val="18"/>
                <w:szCs w:val="18"/>
              </w:rPr>
              <w:t xml:space="preserve">Determines whether config-driven provisioning scales and stays auditable.</w:t>
            </w:r>
          </w:p>
        </w:tc>
      </w:tr>
    </w:tbl>
    <w:p>
      <w:r>
        <w:br w:type="page"/>
      </w:r>
    </w:p>
    <w:p>
      <w:pPr>
        <w:pStyle w:val="Heading1"/>
      </w:pPr>
      <w:r>
        <w:rPr>
          <w:b/>
          <w:bCs/>
          <w:color w:val="0F2E4D"/>
        </w:rPr>
        <w:t xml:space="preserve">The eight themes</w:t>
      </w:r>
    </w:p>
    <w:p>
      <w:pPr>
        <w:pStyle w:val="Heading2"/>
        <w:spacing w:after="80" w:before="220"/>
      </w:pPr>
      <w:r>
        <w:rPr>
          <w:b/>
          <w:bCs/>
          <w:color w:val="1b4d6b"/>
        </w:rPr>
        <w:t xml:space="preserve">Theme A. Operating model &amp; ownership</w:t>
      </w:r>
      <w:r>
        <w:rPr>
          <w:b/>
          <w:bCs/>
          <w:color w:val="b8860b"/>
          <w:sz w:val="18"/>
          <w:szCs w:val="18"/>
        </w:rPr>
        <w:t xml:space="preserve">   ★ decide first</w:t>
      </w:r>
    </w:p>
    <w:p>
      <w:pPr>
        <w:spacing w:after="40"/>
      </w:pPr>
      <w:r>
        <w:rPr>
          <w:b/>
          <w:bCs/>
          <w:color w:val="6b4d1b"/>
          <w:sz w:val="20"/>
          <w:szCs w:val="20"/>
        </w:rPr>
        <w:t xml:space="preserve">Strategic questions</w:t>
      </w:r>
    </w:p>
    <w:p>
      <w:pPr>
        <w:pStyle w:val="ListParagraph"/>
        <w:numPr>
          <w:ilvl w:val="0"/>
          <w:numId w:val="2"/>
        </w:numPr>
        <w:spacing w:after="40"/>
      </w:pPr>
      <w:r>
        <w:t xml:space="preserve">Is MFT a centrally-owned strategic shared service, or federated per programme?</w:t>
      </w:r>
    </w:p>
    <w:p>
      <w:pPr>
        <w:pStyle w:val="ListParagraph"/>
        <w:numPr>
          <w:ilvl w:val="0"/>
          <w:numId w:val="2"/>
        </w:numPr>
        <w:spacing w:after="40"/>
      </w:pPr>
      <w:r>
        <w:t xml:space="preserve">Where is the line between central control and team self-service via Intelligrator — where does a human approval gate stay, and where is full automation acceptable?</w:t>
      </w:r>
    </w:p>
    <w:p>
      <w:pPr>
        <w:pStyle w:val="ListParagraph"/>
        <w:numPr>
          <w:ilvl w:val="0"/>
          <w:numId w:val="2"/>
        </w:numPr>
        <w:spacing w:after="40"/>
      </w:pPr>
      <w:r>
        <w:t xml:space="preserve">What is the funding / chargeback model as transfer volumes and partner counts grow?</w:t>
      </w:r>
    </w:p>
    <w:p>
      <w:pPr>
        <w:spacing w:after="80" w:before="60"/>
      </w:pPr>
      <w:r>
        <w:rPr>
          <w:b/>
          <w:bCs/>
          <w:color w:val="0F2E4D"/>
        </w:rPr>
        <w:t xml:space="preserve">Why it matters. </w:t>
      </w:r>
      <w:r>
        <w:t xml:space="preserve">This shapes the platform team, the guardrails Intelligrator must enforce, and how far self-service can safely go. Almost every other decision inherits from it.</w:t>
      </w:r>
    </w:p>
    <w:p>
      <w:pPr>
        <w:spacing w:after="140"/>
      </w:pPr>
      <w:r>
        <w:rPr>
          <w:b/>
          <w:bCs/>
          <w:color w:val="1E7B34"/>
        </w:rPr>
        <w:t xml:space="preserve">Suggested default to react against. </w:t>
      </w:r>
      <w:r>
        <w:rPr>
          <w:i/>
          <w:iCs/>
        </w:rPr>
        <w:t xml:space="preserve">Central platform ownership with governed self-service. Intelligrator auto-provisions within a fixed guardrail set; anything outside the guardrails routes to human approval.</w:t>
      </w:r>
    </w:p>
    <w:p>
      <w:pPr>
        <w:pStyle w:val="Heading2"/>
        <w:spacing w:after="80" w:before="220"/>
      </w:pPr>
      <w:r>
        <w:rPr>
          <w:b/>
          <w:bCs/>
          <w:color w:val="1b4d6b"/>
        </w:rPr>
        <w:t xml:space="preserve">Theme B. Pattern boundary — what belongs on MFT</w:t>
      </w:r>
      <w:r>
        <w:rPr>
          <w:b/>
          <w:bCs/>
          <w:color w:val="b8860b"/>
          <w:sz w:val="18"/>
          <w:szCs w:val="18"/>
        </w:rPr>
        <w:t xml:space="preserve">   ★ decide first</w:t>
      </w:r>
    </w:p>
    <w:p>
      <w:pPr>
        <w:spacing w:after="40"/>
      </w:pPr>
      <w:r>
        <w:rPr>
          <w:b/>
          <w:bCs/>
          <w:color w:val="6b4d1b"/>
          <w:sz w:val="20"/>
          <w:szCs w:val="20"/>
        </w:rPr>
        <w:t xml:space="preserve">Strategic questions</w:t>
      </w:r>
    </w:p>
    <w:p>
      <w:pPr>
        <w:pStyle w:val="ListParagraph"/>
        <w:numPr>
          <w:ilvl w:val="0"/>
          <w:numId w:val="2"/>
        </w:numPr>
        <w:spacing w:after="40"/>
      </w:pPr>
      <w:r>
        <w:t xml:space="preserve">What is the explicit decision rule for MFT vs synchronous API vs event streaming vs batch ETL?</w:t>
      </w:r>
    </w:p>
    <w:p>
      <w:pPr>
        <w:pStyle w:val="ListParagraph"/>
        <w:numPr>
          <w:ilvl w:val="0"/>
          <w:numId w:val="2"/>
        </w:numPr>
        <w:spacing w:after="40"/>
      </w:pPr>
      <w:r>
        <w:t xml:space="preserve">Is MFT the strategic target for all file-based movement, or scoped to external / partner exchange with internal movement pushed to APIs and events?</w:t>
      </w:r>
    </w:p>
    <w:p>
      <w:pPr>
        <w:pStyle w:val="ListParagraph"/>
        <w:numPr>
          <w:ilvl w:val="0"/>
          <w:numId w:val="2"/>
        </w:numPr>
        <w:spacing w:after="40"/>
      </w:pPr>
      <w:r>
        <w:t xml:space="preserve">When is ad hoc File Sharing acceptable versus governed Automated File Transfer?</w:t>
      </w:r>
    </w:p>
    <w:p>
      <w:pPr>
        <w:spacing w:after="80" w:before="60"/>
      </w:pPr>
      <w:r>
        <w:rPr>
          <w:b/>
          <w:bCs/>
          <w:color w:val="0F2E4D"/>
        </w:rPr>
        <w:t xml:space="preserve">Why it matters. </w:t>
      </w:r>
      <w:r>
        <w:t xml:space="preserve">Without a boundary rule, MFT becomes a catch-all and the demand pipeline is unmanageable. It also determines what lands in the pattern catalogue.</w:t>
      </w:r>
    </w:p>
    <w:p>
      <w:pPr>
        <w:spacing w:after="140"/>
      </w:pPr>
      <w:r>
        <w:rPr>
          <w:b/>
          <w:bCs/>
          <w:color w:val="1E7B34"/>
        </w:rPr>
        <w:t xml:space="preserve">Suggested default to react against. </w:t>
      </w:r>
      <w:r>
        <w:rPr>
          <w:i/>
          <w:iCs/>
        </w:rPr>
        <w:t xml:space="preserve">MFT is the strategic target for external / partner and bulk file exchange. Internal system-to-system movement defaults to API or event patterns unless file semantics are genuinely required.</w:t>
      </w:r>
    </w:p>
    <w:p>
      <w:pPr>
        <w:pStyle w:val="Heading2"/>
        <w:spacing w:after="80" w:before="220"/>
      </w:pPr>
      <w:r>
        <w:rPr>
          <w:b/>
          <w:bCs/>
          <w:color w:val="1b4d6b"/>
        </w:rPr>
        <w:t xml:space="preserve">Theme C. Legacy migration &amp; coexistence</w:t>
      </w:r>
      <w:r>
        <w:rPr>
          <w:b/>
          <w:bCs/>
          <w:color w:val="b8860b"/>
          <w:sz w:val="18"/>
          <w:szCs w:val="18"/>
        </w:rPr>
        <w:t xml:space="preserve">   ★ decide first</w:t>
      </w:r>
    </w:p>
    <w:p>
      <w:pPr>
        <w:spacing w:after="40"/>
      </w:pPr>
      <w:r>
        <w:rPr>
          <w:b/>
          <w:bCs/>
          <w:color w:val="6b4d1b"/>
          <w:sz w:val="20"/>
          <w:szCs w:val="20"/>
        </w:rPr>
        <w:t xml:space="preserve">Strategic questions</w:t>
      </w:r>
    </w:p>
    <w:p>
      <w:pPr>
        <w:pStyle w:val="ListParagraph"/>
        <w:numPr>
          <w:ilvl w:val="0"/>
          <w:numId w:val="2"/>
        </w:numPr>
        <w:spacing w:after="40"/>
      </w:pPr>
      <w:r>
        <w:t xml:space="preserve">Do we replicate existing flows one-to-one (lift-and-shift), or rationalise and re-architect during migration?</w:t>
      </w:r>
    </w:p>
    <w:p>
      <w:pPr>
        <w:pStyle w:val="ListParagraph"/>
        <w:numPr>
          <w:ilvl w:val="0"/>
          <w:numId w:val="2"/>
        </w:numPr>
        <w:spacing w:after="40"/>
      </w:pPr>
      <w:r>
        <w:t xml:space="preserve">How long do the legacy platforms and Boomi MFT coexist, and is cutover phased (strangler) or big-bang?</w:t>
      </w:r>
    </w:p>
    <w:p>
      <w:pPr>
        <w:pStyle w:val="ListParagraph"/>
        <w:numPr>
          <w:ilvl w:val="0"/>
          <w:numId w:val="2"/>
        </w:numPr>
        <w:spacing w:after="40"/>
      </w:pPr>
      <w:r>
        <w:t xml:space="preserve">Can we preserve the partner side with a facade so external parties do not have to change endpoints or protocols mid-migration?</w:t>
      </w:r>
    </w:p>
    <w:p>
      <w:pPr>
        <w:spacing w:after="80" w:before="60"/>
      </w:pPr>
      <w:r>
        <w:rPr>
          <w:b/>
          <w:bCs/>
          <w:color w:val="0F2E4D"/>
        </w:rPr>
        <w:t xml:space="preserve">Why it matters. </w:t>
      </w:r>
      <w:r>
        <w:t xml:space="preserve">This drives the whole roadmap, the decommissioning plan, and the blast radius on external partners. Getting coexistence wrong risks broken partner flows.</w:t>
      </w:r>
    </w:p>
    <w:p>
      <w:pPr>
        <w:spacing w:after="140"/>
      </w:pPr>
      <w:r>
        <w:rPr>
          <w:b/>
          <w:bCs/>
          <w:color w:val="1E7B34"/>
        </w:rPr>
        <w:t xml:space="preserve">Suggested default to react against. </w:t>
      </w:r>
      <w:r>
        <w:rPr>
          <w:i/>
          <w:iCs/>
        </w:rPr>
        <w:t xml:space="preserve">Strangler-style phased cutover, rationalising as you migrate rather than porting legacy debt. Preserve partner-facing endpoints via a facade to keep partner change to a minimum.</w:t>
      </w:r>
    </w:p>
    <w:p>
      <w:pPr>
        <w:pStyle w:val="Heading2"/>
        <w:spacing w:after="80" w:before="220"/>
      </w:pPr>
      <w:r>
        <w:rPr>
          <w:b/>
          <w:bCs/>
          <w:color w:val="1b4d6b"/>
        </w:rPr>
        <w:t xml:space="preserve">Theme D. Connectivity, protocols &amp; partner onboarding</w:t>
      </w:r>
    </w:p>
    <w:p>
      <w:pPr>
        <w:spacing w:after="40"/>
      </w:pPr>
      <w:r>
        <w:rPr>
          <w:b/>
          <w:bCs/>
          <w:color w:val="6b4d1b"/>
          <w:sz w:val="20"/>
          <w:szCs w:val="20"/>
        </w:rPr>
        <w:t xml:space="preserve">Strategic questions</w:t>
      </w:r>
    </w:p>
    <w:p>
      <w:pPr>
        <w:pStyle w:val="ListParagraph"/>
        <w:numPr>
          <w:ilvl w:val="0"/>
          <w:numId w:val="2"/>
        </w:numPr>
        <w:spacing w:after="40"/>
      </w:pPr>
      <w:r>
        <w:t xml:space="preserve">Which protocols are strategic (SFTP, AS2, HTTPS) and which do we sunset (plain FTP / FTPS)?</w:t>
      </w:r>
    </w:p>
    <w:p>
      <w:pPr>
        <w:pStyle w:val="ListParagraph"/>
        <w:numPr>
          <w:ilvl w:val="0"/>
          <w:numId w:val="2"/>
        </w:numPr>
        <w:spacing w:after="40"/>
      </w:pPr>
      <w:r>
        <w:t xml:space="preserve">What is the partner onboarding model at scale — managed vs self-service, static vs dynamic endpoints?</w:t>
      </w:r>
    </w:p>
    <w:p>
      <w:pPr>
        <w:pStyle w:val="ListParagraph"/>
        <w:numPr>
          <w:ilvl w:val="0"/>
          <w:numId w:val="2"/>
        </w:numPr>
        <w:spacing w:after="40"/>
      </w:pPr>
      <w:r>
        <w:t xml:space="preserve">Where does MFT sit relative to the network edge / DMZ, and how is IP allow-listing managed at scale?</w:t>
      </w:r>
    </w:p>
    <w:p>
      <w:pPr>
        <w:spacing w:after="80" w:before="60"/>
      </w:pPr>
      <w:r>
        <w:rPr>
          <w:b/>
          <w:bCs/>
          <w:color w:val="0F2E4D"/>
        </w:rPr>
        <w:t xml:space="preserve">Why it matters. </w:t>
      </w:r>
      <w:r>
        <w:t xml:space="preserve">Determines the reference connectivity architecture and how quickly new partners can be onboarded — a common bottleneck.</w:t>
      </w:r>
    </w:p>
    <w:p>
      <w:pPr>
        <w:spacing w:after="140"/>
      </w:pPr>
      <w:r>
        <w:rPr>
          <w:b/>
          <w:bCs/>
          <w:color w:val="1E7B34"/>
        </w:rPr>
        <w:t xml:space="preserve">Suggested default to react against. </w:t>
      </w:r>
      <w:r>
        <w:rPr>
          <w:i/>
          <w:iCs/>
        </w:rPr>
        <w:t xml:space="preserve">Standardise on SFTP and AS2 for partner exchange; publish a partner onboarding runbook with defined SLAs. Sunset plain FTP.</w:t>
      </w:r>
    </w:p>
    <w:p>
      <w:pPr>
        <w:pStyle w:val="Heading2"/>
        <w:spacing w:after="80" w:before="220"/>
      </w:pPr>
      <w:r>
        <w:rPr>
          <w:b/>
          <w:bCs/>
          <w:color w:val="1b4d6b"/>
        </w:rPr>
        <w:t xml:space="preserve">Theme E. Security, compliance &amp; data residency</w:t>
      </w:r>
      <w:r>
        <w:rPr>
          <w:b/>
          <w:bCs/>
          <w:color w:val="b8860b"/>
          <w:sz w:val="18"/>
          <w:szCs w:val="18"/>
        </w:rPr>
        <w:t xml:space="preserve">   ★ decide first</w:t>
      </w:r>
    </w:p>
    <w:p>
      <w:pPr>
        <w:spacing w:after="40"/>
      </w:pPr>
      <w:r>
        <w:rPr>
          <w:b/>
          <w:bCs/>
          <w:color w:val="6b4d1b"/>
          <w:sz w:val="20"/>
          <w:szCs w:val="20"/>
        </w:rPr>
        <w:t xml:space="preserve">Strategic questions</w:t>
      </w:r>
    </w:p>
    <w:p>
      <w:pPr>
        <w:pStyle w:val="ListParagraph"/>
        <w:numPr>
          <w:ilvl w:val="0"/>
          <w:numId w:val="2"/>
        </w:numPr>
        <w:spacing w:after="40"/>
      </w:pPr>
      <w:r>
        <w:t xml:space="preserve">What are the encryption and key-management standards (PGP at rest, TLS in transit), and who owns key rotation?</w:t>
      </w:r>
    </w:p>
    <w:p>
      <w:pPr>
        <w:pStyle w:val="ListParagraph"/>
        <w:numPr>
          <w:ilvl w:val="0"/>
          <w:numId w:val="2"/>
        </w:numPr>
        <w:spacing w:after="40"/>
      </w:pPr>
      <w:r>
        <w:t xml:space="preserve">How is data classification handled — where can files land and rest, and is UK data residency required for runtimes and file stores?</w:t>
      </w:r>
    </w:p>
    <w:p>
      <w:pPr>
        <w:pStyle w:val="ListParagraph"/>
        <w:numPr>
          <w:ilvl w:val="0"/>
          <w:numId w:val="2"/>
        </w:numPr>
        <w:spacing w:after="40"/>
      </w:pPr>
      <w:r>
        <w:t xml:space="preserve">What non-repudiation, audit-evidence retention, and DLP / anti-virus scanning is mandated for file movement (especially tax data)?</w:t>
      </w:r>
    </w:p>
    <w:p>
      <w:pPr>
        <w:spacing w:after="80" w:before="60"/>
      </w:pPr>
      <w:r>
        <w:rPr>
          <w:b/>
          <w:bCs/>
          <w:color w:val="0F2E4D"/>
        </w:rPr>
        <w:t xml:space="preserve">Why it matters. </w:t>
      </w:r>
      <w:r>
        <w:t xml:space="preserve">Non-negotiable and gates go-live. For tax data the residency, audit and non-repudiation bar is high, and it constrains the hosting topology.</w:t>
      </w:r>
    </w:p>
    <w:p>
      <w:pPr>
        <w:spacing w:after="140"/>
      </w:pPr>
      <w:r>
        <w:rPr>
          <w:b/>
          <w:bCs/>
          <w:color w:val="1E7B34"/>
        </w:rPr>
        <w:t xml:space="preserve">Suggested default to react against. </w:t>
      </w:r>
      <w:r>
        <w:rPr>
          <w:i/>
          <w:iCs/>
        </w:rPr>
        <w:t xml:space="preserve">Assume UK data residency for runtimes and file staging, PGP at rest plus TLS in transit, immutable transfer-audit retention, and AV/DLP scanning inline. Confirm early — it is a hard gate.</w:t>
      </w:r>
    </w:p>
    <w:p>
      <w:pPr>
        <w:pStyle w:val="Heading2"/>
        <w:spacing w:after="80" w:before="220"/>
      </w:pPr>
      <w:r>
        <w:rPr>
          <w:b/>
          <w:bCs/>
          <w:color w:val="1b4d6b"/>
        </w:rPr>
        <w:t xml:space="preserve">Theme F. Architecture, scale &amp; resilience</w:t>
      </w:r>
      <w:r>
        <w:rPr>
          <w:b/>
          <w:bCs/>
          <w:color w:val="b8860b"/>
          <w:sz w:val="18"/>
          <w:szCs w:val="18"/>
        </w:rPr>
        <w:t xml:space="preserve">   ★ decide first</w:t>
      </w:r>
    </w:p>
    <w:p>
      <w:pPr>
        <w:spacing w:after="40"/>
      </w:pPr>
      <w:r>
        <w:rPr>
          <w:b/>
          <w:bCs/>
          <w:color w:val="6b4d1b"/>
          <w:sz w:val="20"/>
          <w:szCs w:val="20"/>
        </w:rPr>
        <w:t xml:space="preserve">Strategic questions</w:t>
      </w:r>
    </w:p>
    <w:p>
      <w:pPr>
        <w:pStyle w:val="ListParagraph"/>
        <w:numPr>
          <w:ilvl w:val="0"/>
          <w:numId w:val="2"/>
        </w:numPr>
        <w:spacing w:after="40"/>
      </w:pPr>
      <w:r>
        <w:t xml:space="preserve">What is the runtime topology (clustered Molecule for HA), and where do files stage — given node-local staging is a known risk in clustered runtimes?</w:t>
      </w:r>
    </w:p>
    <w:p>
      <w:pPr>
        <w:pStyle w:val="ListParagraph"/>
        <w:numPr>
          <w:ilvl w:val="0"/>
          <w:numId w:val="2"/>
        </w:numPr>
        <w:spacing w:after="40"/>
      </w:pPr>
      <w:r>
        <w:t xml:space="preserve">What are the expected volumes and peak file sizes, and does native MFT meet the throughput ceiling? What is the scaling lever?</w:t>
      </w:r>
    </w:p>
    <w:p>
      <w:pPr>
        <w:pStyle w:val="ListParagraph"/>
        <w:numPr>
          <w:ilvl w:val="0"/>
          <w:numId w:val="2"/>
        </w:numPr>
        <w:spacing w:after="40"/>
      </w:pPr>
      <w:r>
        <w:t xml:space="preserve">What is the DR posture (RPO / RTO), the fate of in-flight files on failover, and the duplicate / ordering guarantees?</w:t>
      </w:r>
    </w:p>
    <w:p>
      <w:pPr>
        <w:spacing w:after="80" w:before="60"/>
      </w:pPr>
      <w:r>
        <w:rPr>
          <w:b/>
          <w:bCs/>
          <w:color w:val="0F2E4D"/>
        </w:rPr>
        <w:t xml:space="preserve">Why it matters. </w:t>
      </w:r>
      <w:r>
        <w:t xml:space="preserve">Foundational and hard to reverse. File staging on node-local storage in a clustered runtime causes correctness and resilience problems, so it must be designed deliberately.</w:t>
      </w:r>
    </w:p>
    <w:p>
      <w:pPr>
        <w:spacing w:after="140"/>
      </w:pPr>
      <w:r>
        <w:rPr>
          <w:b/>
          <w:bCs/>
          <w:color w:val="1E7B34"/>
        </w:rPr>
        <w:t xml:space="preserve">Suggested default to react against. </w:t>
      </w:r>
      <w:r>
        <w:rPr>
          <w:i/>
          <w:iCs/>
        </w:rPr>
        <w:t xml:space="preserve">Clustered runtime for HA with shared, resilient staging (not node-local). Size against real peak volumes; define RPO/RTO and in-flight-file recovery explicitly in the NFRs.</w:t>
      </w:r>
    </w:p>
    <w:p>
      <w:pPr>
        <w:pStyle w:val="Heading2"/>
        <w:spacing w:after="80" w:before="220"/>
      </w:pPr>
      <w:r>
        <w:rPr>
          <w:b/>
          <w:bCs/>
          <w:color w:val="1b4d6b"/>
        </w:rPr>
        <w:t xml:space="preserve">Theme G. Governance, standards &amp; environment promotion</w:t>
      </w:r>
      <w:r>
        <w:rPr>
          <w:b/>
          <w:bCs/>
          <w:color w:val="b8860b"/>
          <w:sz w:val="18"/>
          <w:szCs w:val="18"/>
        </w:rPr>
        <w:t xml:space="preserve">   ★ decide first</w:t>
      </w:r>
    </w:p>
    <w:p>
      <w:pPr>
        <w:spacing w:after="40"/>
      </w:pPr>
      <w:r>
        <w:rPr>
          <w:b/>
          <w:bCs/>
          <w:color w:val="6b4d1b"/>
          <w:sz w:val="20"/>
          <w:szCs w:val="20"/>
        </w:rPr>
        <w:t xml:space="preserve">Strategic questions</w:t>
      </w:r>
    </w:p>
    <w:p>
      <w:pPr>
        <w:pStyle w:val="ListParagraph"/>
        <w:numPr>
          <w:ilvl w:val="0"/>
          <w:numId w:val="2"/>
        </w:numPr>
        <w:spacing w:after="40"/>
      </w:pPr>
      <w:r>
        <w:t xml:space="preserve">Is the config-driven model (one generic engine + one config row per interface) the mandated organisation-wide standard?</w:t>
      </w:r>
    </w:p>
    <w:p>
      <w:pPr>
        <w:pStyle w:val="ListParagraph"/>
        <w:numPr>
          <w:ilvl w:val="0"/>
          <w:numId w:val="2"/>
        </w:numPr>
        <w:spacing w:after="40"/>
      </w:pPr>
      <w:r>
        <w:t xml:space="preserve">How do config rows promote Dev → Test → Prod — config-as-code / GitOps, or manual?</w:t>
      </w:r>
    </w:p>
    <w:p>
      <w:pPr>
        <w:pStyle w:val="ListParagraph"/>
        <w:numPr>
          <w:ilvl w:val="0"/>
          <w:numId w:val="2"/>
        </w:numPr>
        <w:spacing w:after="40"/>
      </w:pPr>
      <w:r>
        <w:t xml:space="preserve">What guardrails must hold for Intelligrator to auto-provision without a human, and what always requires approval?</w:t>
      </w:r>
    </w:p>
    <w:p>
      <w:pPr>
        <w:spacing w:after="80" w:before="60"/>
      </w:pPr>
      <w:r>
        <w:rPr>
          <w:b/>
          <w:bCs/>
          <w:color w:val="0F2E4D"/>
        </w:rPr>
        <w:t xml:space="preserve">Why it matters. </w:t>
      </w:r>
      <w:r>
        <w:t xml:space="preserve">Determines whether the config-driven approach actually scales and stays auditable, and defines the automation boundary for Intelligrator.</w:t>
      </w:r>
    </w:p>
    <w:p>
      <w:pPr>
        <w:spacing w:after="140"/>
      </w:pPr>
      <w:r>
        <w:rPr>
          <w:b/>
          <w:bCs/>
          <w:color w:val="1E7B34"/>
        </w:rPr>
        <w:t xml:space="preserve">Suggested default to react against. </w:t>
      </w:r>
      <w:r>
        <w:rPr>
          <w:i/>
          <w:iCs/>
        </w:rPr>
        <w:t xml:space="preserve">Adopt config-driven provisioning as the standard and promote config-as-code through environments. Keep a tight, explicit guardrail set for unattended provisioning.</w:t>
      </w:r>
    </w:p>
    <w:p>
      <w:pPr>
        <w:pStyle w:val="Heading2"/>
        <w:spacing w:after="80" w:before="220"/>
      </w:pPr>
      <w:r>
        <w:rPr>
          <w:b/>
          <w:bCs/>
          <w:color w:val="1b4d6b"/>
        </w:rPr>
        <w:t xml:space="preserve">Theme H. Operations, support &amp; commercials</w:t>
      </w:r>
    </w:p>
    <w:p>
      <w:pPr>
        <w:spacing w:after="40"/>
      </w:pPr>
      <w:r>
        <w:rPr>
          <w:b/>
          <w:bCs/>
          <w:color w:val="6b4d1b"/>
          <w:sz w:val="20"/>
          <w:szCs w:val="20"/>
        </w:rPr>
        <w:t xml:space="preserve">Strategic questions</w:t>
      </w:r>
    </w:p>
    <w:p>
      <w:pPr>
        <w:pStyle w:val="ListParagraph"/>
        <w:numPr>
          <w:ilvl w:val="0"/>
          <w:numId w:val="2"/>
        </w:numPr>
        <w:spacing w:after="40"/>
      </w:pPr>
      <w:r>
        <w:t xml:space="preserve">What is the run / support model (L1–L3), who holds reprocessing rights (self-service vs ops-gated), and is it 24/7 or business hours?</w:t>
      </w:r>
    </w:p>
    <w:p>
      <w:pPr>
        <w:pStyle w:val="ListParagraph"/>
        <w:numPr>
          <w:ilvl w:val="0"/>
          <w:numId w:val="2"/>
        </w:numPr>
        <w:spacing w:after="40"/>
      </w:pPr>
      <w:r>
        <w:t xml:space="preserve">Is the native Activity Page enough for observability, or must transfers feed enterprise SIEM / ops tooling?</w:t>
      </w:r>
    </w:p>
    <w:p>
      <w:pPr>
        <w:pStyle w:val="ListParagraph"/>
        <w:numPr>
          <w:ilvl w:val="0"/>
          <w:numId w:val="2"/>
        </w:numPr>
        <w:spacing w:after="40"/>
      </w:pPr>
      <w:r>
        <w:t xml:space="preserve">What is the licensing / cost model at scale, and what is the exit and configuration-portability position?</w:t>
      </w:r>
    </w:p>
    <w:p>
      <w:pPr>
        <w:spacing w:after="80" w:before="60"/>
      </w:pPr>
      <w:r>
        <w:rPr>
          <w:b/>
          <w:bCs/>
          <w:color w:val="0F2E4D"/>
        </w:rPr>
        <w:t xml:space="preserve">Why it matters. </w:t>
      </w:r>
      <w:r>
        <w:t xml:space="preserve">Drives the support model, tooling integration, and total cost of ownership as the estate grows.</w:t>
      </w:r>
    </w:p>
    <w:p>
      <w:pPr>
        <w:spacing w:after="140"/>
      </w:pPr>
      <w:r>
        <w:rPr>
          <w:b/>
          <w:bCs/>
          <w:color w:val="1E7B34"/>
        </w:rPr>
        <w:t xml:space="preserve">Suggested default to react against. </w:t>
      </w:r>
      <w:r>
        <w:rPr>
          <w:i/>
          <w:iCs/>
        </w:rPr>
        <w:t xml:space="preserve">Feed transfer telemetry into enterprise monitoring rather than relying on the Activity Page alone; define reprocessing rights and support tiers before Prod.</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2"/>
        <w:sz w:val="16"/>
        <w:szCs w:val="16"/>
      </w:rPr>
      <w:t xml:space="preserve">Page </w:t>
    </w:r>
    <w:r>
      <w:rPr>
        <w:color w:val="5b6572"/>
        <w:sz w:val="16"/>
        <w:szCs w:val="16"/>
      </w:rPr>
      <w:fldChar w:fldCharType="begin"/>
      <w:instrText xml:space="preserve">PAGE</w:instrText>
      <w:fldChar w:fldCharType="separate"/>
      <w:fldChar w:fldCharType="end"/>
    </w:r>
    <w:r>
      <w:rPr>
        <w:color w:val="5b6572"/>
        <w:sz w:val="16"/>
        <w:szCs w:val="16"/>
      </w:rPr>
      <w:t xml:space="preserve"> · v1.0 · July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2"/>
        <w:sz w:val="16"/>
        <w:szCs w:val="16"/>
      </w:rPr>
      <w:t xml:space="preserve">HMRC · MFT on Boomi · Strategic Question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pPr>
    <w:rPr>
      <w:b/>
      <w:bCs/>
      <w:color w:val="0F2E4D"/>
      <w:sz w:val="30"/>
      <w:szCs w:val="30"/>
    </w:rPr>
  </w:style>
  <w:style w:type="paragraph" w:styleId="Heading2">
    <w:name w:val="Heading 2"/>
    <w:basedOn w:val="Normal"/>
    <w:next w:val="Normal"/>
    <w:qFormat/>
    <w:pPr>
      <w:spacing w:after="100" w:before="220"/>
    </w:pPr>
    <w:rPr>
      <w:b/>
      <w:bCs/>
      <w:color w:val="1b4d6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HMRC MFT on Boomi — Strategic Question Framework</dc:title>
  <dc:creator>Integration Catalogue Bot</dc:creator>
  <cp:lastModifiedBy>Un-named</cp:lastModifiedBy>
  <cp:revision>1</cp:revision>
  <dcterms:created xsi:type="dcterms:W3CDTF">2026-07-07T14:12:30.699Z</dcterms:created>
  <dcterms:modified xsi:type="dcterms:W3CDTF">2026-07-07T14:12:30.713Z</dcterms:modified>
</cp:coreProperties>
</file>

<file path=docProps/custom.xml><?xml version="1.0" encoding="utf-8"?>
<Properties xmlns="http://schemas.openxmlformats.org/officeDocument/2006/custom-properties" xmlns:vt="http://schemas.openxmlformats.org/officeDocument/2006/docPropsVTypes"/>
</file>