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Boomi MFT Platform: Overview, AFT and 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Status</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Draft v0.2 (draft), 22 October 2026</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Page owner</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Audience</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Architects, Boomi platform team, delivery teams, security and service management</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Child page</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MVP Solution</w:t>
            </w:r>
          </w:p>
        </w:tc>
      </w:tr>
      <w:tr>
        <w:tc>
          <w:tcPr>
            <w:tcW w:type="dxa" w:w="24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Change history</w:t>
            </w:r>
          </w:p>
        </w:tc>
        <w:tc>
          <w:tcPr>
            <w:tcW w:type="dxa" w:w="72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v0.1: sections 1 to 5 and gaps, principles, references. v0.2: adds section 6 (instances and environments), 7 (roles and access) and 8 (naming conventions)</w:t>
            </w:r>
          </w:p>
        </w:tc>
      </w:tr>
    </w:tbl>
    <w:p>
      <w:pPr>
        <w:spacing w:after="60"/>
      </w:pPr>
    </w:p>
    <w:p>
      <w:pPr>
        <w:pStyle w:val="Heading1"/>
      </w:pPr>
      <w:r>
        <w:t xml:space="preserve">1. Purpose</w:t>
      </w:r>
    </w:p>
    <w:p>
      <w:pPr>
        <w:spacing w:after="120"/>
      </w:pPr>
      <w:r>
        <w:t xml:space="preserve">This page describes the Boomi Managed File Transfer (MFT) platform: its two applications, Automated File Transfer (AFT) and File Sharing (FS), the runtime that keeps internal transfers inside our network, how the platform is deployed on the programme, how environments and instances are organised, the roles and access given to product teams, the naming conventions, and the gaps and decisions that shape its use. The MVP is described on the child page, Boomi MFT MVP Solution.</w:t>
      </w:r>
    </w:p>
    <w:p>
      <w:pPr>
        <w:pStyle w:val="Heading1"/>
      </w:pPr>
      <w:r>
        <w:t xml:space="preserve">2. Platform at a glance</w:t>
      </w:r>
    </w:p>
    <w:p>
      <w:pPr>
        <w:spacing w:after="120"/>
      </w:pPr>
      <w:r>
        <w:t xml:space="preserve">Boomi MFT is a cloud-native managed file transfer service within the Boomi Enterprise Platform. It came from Boomi's acquisition of Thru Inc., announced in May 2025, so some screens, URLs and install paths still carry the Thru name. Boomi hosts the control plane, the portal and persistent file storage. We host the MFT Node runtime inside our network wherever files must stay internal.</w:t>
      </w:r>
    </w:p>
    <w:p>
      <w:pPr>
        <w:spacing w:after="120"/>
      </w:pPr>
      <w:r>
        <w:t xml:space="preserve">On the programme, Boomi MFT complements the incumbent file-transfer estate (ESDES and SDS). It is not a like-for-like replacement. New and migrated transfers are onboarded by configuration, not by building a new component for each interface.</w:t>
      </w:r>
    </w:p>
    <w:p>
      <w:pPr>
        <w:jc w:val="center"/>
      </w:pPr>
      <w:r>
        <w:drawing>
          <wp:inline distT="0" distB="0" distL="0" distR="0">
            <wp:extent cx="6096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543300"/>
                    </a:xfrm>
                    <a:prstGeom prst="rect">
                      <a:avLst/>
                    </a:prstGeom>
                  </pic:spPr>
                </pic:pic>
              </a:graphicData>
            </a:graphic>
          </wp:inline>
        </w:drawing>
      </w:r>
    </w:p>
    <w:p>
      <w:pPr>
        <w:spacing w:after="200"/>
        <w:jc w:val="center"/>
      </w:pPr>
      <w:r>
        <w:rPr>
          <w:i/>
          <w:iCs/>
          <w:color w:val="52606D"/>
          <w:sz w:val="18"/>
          <w:szCs w:val="18"/>
        </w:rPr>
        <w:t xml:space="preserve">Figure 1. Boomi MFT platform components, trust zones and data flows (source: boomi-mft-platform.drawio)</w:t>
      </w:r>
    </w:p>
    <w:p>
      <w:pPr>
        <w:pStyle w:val="Heading2"/>
      </w:pPr>
      <w:r>
        <w:t xml:space="preserve">2.1 Building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3517"/>
        <w:gridCol w:w="1823"/>
        <w:gridCol w:w="2976"/>
      </w:tblGrid>
      <w:tr>
        <w:trPr>
          <w:tblHeader/>
        </w:trPr>
        <w:tc>
          <w:tcPr>
            <w:tcW w:type="dxa" w:w="132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Component</w:t>
            </w:r>
          </w:p>
        </w:tc>
        <w:tc>
          <w:tcPr>
            <w:tcW w:type="dxa" w:w="351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What it is</w:t>
            </w:r>
          </w:p>
        </w:tc>
        <w:tc>
          <w:tcPr>
            <w:tcW w:type="dxa" w:w="182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Where it runs</w:t>
            </w:r>
          </w:p>
        </w:tc>
        <w:tc>
          <w:tcPr>
            <w:tcW w:type="dxa" w:w="297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Notes</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Control plane, admin portal, Flow Studio, activity tracking, alerting and persistent file storage</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Boomi-hosted</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Files are held until delivered, which underpins guaranteed delivery and automatic retries.</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Automated File Transfer (AFT)</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System-to-system transfers built from Organizations, Endpoints and Flows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 with the MFT Node for internal endpoints</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Scheduled or API-triggered. See section 3.</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Sharing (FS)</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Person-to-person sharing: web app, secure links, MFT Dropbox, Outlook, Office 365 and Salesforce add-ins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See section 4.</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Node (Local Node)</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Runtime agent installed on Windows or Linux inside our network</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Our AWS estate (EC2); Azure in design</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Outbound HTTPS only, token authenticated, orchestrated by the Cloud. See section 5.</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Server endpoints</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SFTP, FTPS (explicit mode only) and HTTPS servers hosted by MFT for partners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partner needs an MFT user to connect.</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APIs</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Management, Activity and File Sharing APIs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MFT Cloud</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Used for run-now triggers, status queries and self-service provisioning.</w:t>
            </w:r>
          </w:p>
        </w:tc>
      </w:tr>
      <w:tr>
        <w:tc>
          <w:tcPr>
            <w:tcW w:type="dxa" w:w="132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Connector</w:t>
            </w:r>
          </w:p>
        </w:tc>
        <w:tc>
          <w:tcPr>
            <w:tcW w:type="dxa" w:w="351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Integration connector that sends and receives files inside integration processes</w:t>
            </w:r>
          </w:p>
        </w:tc>
        <w:tc>
          <w:tcPr>
            <w:tcW w:type="dxa" w:w="182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Integration runtime</w:t>
            </w:r>
          </w:p>
        </w:tc>
        <w:tc>
          <w:tcPr>
            <w:tcW w:type="dxa" w:w="297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re-architected next-generation connector is on the Boomi Q3 2026 roadmap.</w:t>
            </w:r>
          </w:p>
        </w:tc>
      </w:tr>
    </w:tbl>
    <w:p>
      <w:pPr>
        <w:spacing w:after="60"/>
      </w:pPr>
    </w:p>
    <w:p>
      <w:pPr>
        <w:pStyle w:val="Heading1"/>
      </w:pPr>
      <w:r>
        <w:t xml:space="preserve">3. Automated File Transfer (AFT)</w:t>
      </w:r>
    </w:p>
    <w:p>
      <w:pPr>
        <w:spacing w:after="120"/>
      </w:pPr>
      <w:r>
        <w:t xml:space="preserve">AFT is managed file transfer as a service for system-to-system exchange. Boomi describes it with a postal model: participants drop off and pick up files, and the Flow decides where each file goes. Internal teams and systems use the same Flows to reach each other's endpoints.</w:t>
      </w:r>
    </w:p>
    <w:p>
      <w:pPr>
        <w:pStyle w:val="Heading2"/>
      </w:pPr>
      <w:r>
        <w:t xml:space="preserve">3.1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971"/>
        <w:gridCol w:w="3167"/>
      </w:tblGrid>
      <w:tr>
        <w:trPr>
          <w:tblHeader/>
        </w:trPr>
        <w:tc>
          <w:tcPr>
            <w:tcW w:type="dxa" w:w="15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Concept</w:t>
            </w:r>
          </w:p>
        </w:tc>
        <w:tc>
          <w:tcPr>
            <w:tcW w:type="dxa" w:w="497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Meaning</w:t>
            </w:r>
          </w:p>
        </w:tc>
        <w:tc>
          <w:tcPr>
            <w:tcW w:type="dxa" w:w="316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Use on the programme</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Organization</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participant in file exchange: the enterprise, a partner, an internal team or a system. Once granted access, an Organization manages its own users and reusable endpoints.</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One Organization per business area or partner, created through the onboarding process.</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source or target location. External endpoints: MFT connects out to a server with supplied credentials. MFT Server endpoints: MFT is the server and the partner logs in with an MFT user.</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Endpoints are configuration rows. Credentials are held on the endpoint (gap G-14).</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file exchange process. Organizations subscribe by attaching source and target Flow Endpoints, with path mapping and settings.</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small set of generic Flows per transfer type, not one build per interface.</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 Studio</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Browser tool to design Flows, attach Flow Endpoints and send a test file.</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Platform team and approved administrators.</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Activity and Alerts</w:t>
            </w:r>
          </w:p>
        </w:tc>
        <w:tc>
          <w:tcPr>
            <w:tcW w:type="dxa" w:w="49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Activity screen and Activity API show the status of each transfer. The Alerts dashboard shows failed transfers to both enterprise and partner administrators.</w:t>
            </w:r>
          </w:p>
        </w:tc>
        <w:tc>
          <w:tcPr>
            <w:tcW w:type="dxa" w:w="316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Feeds operational monitoring and the MVP evidence pack.</w:t>
            </w:r>
          </w:p>
        </w:tc>
      </w:tr>
    </w:tbl>
    <w:p>
      <w:pPr>
        <w:spacing w:after="60"/>
      </w:pPr>
    </w:p>
    <w:p>
      <w:pPr>
        <w:pStyle w:val="Heading2"/>
      </w:pPr>
      <w:r>
        <w:t xml:space="preserve">3.2 Endpoint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9"/>
        <w:gridCol w:w="7629"/>
      </w:tblGrid>
      <w:tr>
        <w:trPr>
          <w:tblHeader/>
        </w:trPr>
        <w:tc>
          <w:tcPr>
            <w:tcW w:type="dxa" w:w="200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Endpoint type</w:t>
            </w:r>
          </w:p>
        </w:tc>
        <w:tc>
          <w:tcPr>
            <w:tcW w:type="dxa" w:w="762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Typical use</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SFTP Server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Partner pushes or pulls files over SFTP to a server hosted by MFT</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FTPS Server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As above over FTPS; explicit mode only</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HTTPS</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Upload and download over HTTPS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SFTP Server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connects to a partner or SaaS SFTP server, for example a Pega landing zone</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FTPS Server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connects to a partner FTPS server</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Share / MFT Node</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Local folders and LAN shares reached through an MFT Node (not the File Sharing application)</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Amazon S3</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S3 buckets; internal buckets are reached through the MFT Node in our design</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Azure Blob</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Azure Blob containers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Azure Files</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Azure file shares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Google Cloud Storage</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GCS buckets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SharePoint</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SharePoint document libraries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Managed File Transfer Connector</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Hand-off to and from Boomi Integration processes</w:t>
            </w:r>
          </w:p>
        </w:tc>
      </w:tr>
      <w:tr>
        <w:tc>
          <w:tcPr>
            <w:tcW w:type="dxa" w:w="200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File Sharing</w:t>
            </w:r>
          </w:p>
        </w:tc>
        <w:tc>
          <w:tcPr>
            <w:tcW w:type="dxa" w:w="76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Hand-off between AFT Flows and File Sharing folders</w:t>
            </w:r>
          </w:p>
        </w:tc>
      </w:tr>
    </w:tbl>
    <w:p>
      <w:pPr>
        <w:spacing w:after="60"/>
      </w:pPr>
    </w:p>
    <w:p>
      <w:pPr>
        <w:pBdr>
          <w:left w:val="single" w:color="7A5A00" w:sz="24" w:space="6"/>
        </w:pBdr>
        <w:shd w:fill="FDF3D6" w:color="auto" w:val="clear"/>
        <w:spacing w:after="160" w:before="80"/>
      </w:pPr>
      <w:r>
        <w:rPr>
          <w:sz w:val="20"/>
          <w:szCs w:val="20"/>
        </w:rPr>
        <w:t xml:space="preserve">New endpoint types can be requested through Boomi Support.</w:t>
      </w:r>
    </w:p>
    <w:p>
      <w:pPr>
        <w:pStyle w:val="Heading2"/>
      </w:pPr>
      <w:r>
        <w:t xml:space="preserve">3.3 Key capabilities</w:t>
      </w:r>
    </w:p>
    <w:p>
      <w:pPr>
        <w:pStyle w:val="ListParagraph"/>
        <w:numPr>
          <w:ilvl w:val="0"/>
          <w:numId w:val="2"/>
        </w:numPr>
      </w:pPr>
      <w:r>
        <w:t xml:space="preserve">Triggering: schedules on source Flow Endpoints (four frequency options), or an API call that runs a Flow Endpoint now when an upstream event says files are ready.</w:t>
      </w:r>
    </w:p>
    <w:p>
      <w:pPr>
        <w:pStyle w:val="ListParagraph"/>
        <w:numPr>
          <w:ilvl w:val="0"/>
          <w:numId w:val="2"/>
        </w:numPr>
      </w:pPr>
      <w:r>
        <w:t xml:space="preserve">Guaranteed delivery: files persist in MFT storage until delivered, Flow state survives retries, and failed transfers retry automatically.</w:t>
      </w:r>
    </w:p>
    <w:p>
      <w:pPr>
        <w:pStyle w:val="ListParagraph"/>
        <w:numPr>
          <w:ilvl w:val="0"/>
          <w:numId w:val="2"/>
        </w:numPr>
      </w:pPr>
      <w:r>
        <w:t xml:space="preserve">Fan-out: a Flow can have many subscribers. If one subscriber or endpoint is disabled, the Flow still runs for the others.</w:t>
      </w:r>
    </w:p>
    <w:p>
      <w:pPr>
        <w:pStyle w:val="ListParagraph"/>
        <w:numPr>
          <w:ilvl w:val="0"/>
          <w:numId w:val="2"/>
        </w:numPr>
      </w:pPr>
      <w:r>
        <w:t xml:space="preserve">Hybrid execution: external endpoints can be served by the Cloud or by an MFT Node (Node Direct). With Node Direct, connections start from the Node's IP addresses, so partners must allow-list those.</w:t>
      </w:r>
    </w:p>
    <w:p>
      <w:pPr>
        <w:pStyle w:val="ListParagraph"/>
        <w:numPr>
          <w:ilvl w:val="0"/>
          <w:numId w:val="2"/>
        </w:numPr>
      </w:pPr>
      <w:r>
        <w:t xml:space="preserve">Concurrency: transfer concurrency is set per Flow Endpoint and the Node follows that setting.</w:t>
      </w:r>
    </w:p>
    <w:p>
      <w:pPr>
        <w:pStyle w:val="ListParagraph"/>
        <w:numPr>
          <w:ilvl w:val="0"/>
          <w:numId w:val="2"/>
        </w:numPr>
      </w:pPr>
      <w:r>
        <w:t xml:space="preserve">Visibility: Activity screen and API, alert emails per Node and per Flow, and audit history.</w:t>
      </w:r>
    </w:p>
    <w:p>
      <w:pPr>
        <w:pStyle w:val="ListParagraph"/>
        <w:numPr>
          <w:ilvl w:val="0"/>
          <w:numId w:val="2"/>
        </w:numPr>
      </w:pPr>
      <w:r>
        <w:t xml:space="preserve">Integration: the MFT Connector and APIs let Boomi Integration processes and API Management start or consume transfers.</w:t>
      </w:r>
    </w:p>
    <w:p>
      <w:pPr>
        <w:pBdr>
          <w:left w:val="single" w:color="7A5A00" w:sz="24" w:space="6"/>
        </w:pBdr>
        <w:shd w:fill="FDF3D6" w:color="auto" w:val="clear"/>
        <w:spacing w:after="160" w:before="80"/>
      </w:pPr>
      <w:r>
        <w:rPr>
          <w:sz w:val="20"/>
          <w:szCs w:val="20"/>
        </w:rPr>
        <w:t xml:space="preserve">Operational caution: when an Organization endpoint changes (for example a password or key rotation), the change must be carried to every Flow that uses it. Plan credential rotation with this in mind (G-14).</w:t>
      </w:r>
    </w:p>
    <w:p>
      <w:pPr>
        <w:pStyle w:val="Heading2"/>
      </w:pPr>
      <w:r>
        <w:t xml:space="preserve">3.4 Roadmap items to confirm</w:t>
      </w:r>
    </w:p>
    <w:p>
      <w:pPr>
        <w:spacing w:after="120"/>
      </w:pPr>
      <w:r>
        <w:t xml:space="preserve">These items are on the Boomi Q3 2026 product roadmap. They are not assumed in our design until Boomi confirms them for our tenant.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2"/>
        <w:gridCol w:w="4136"/>
      </w:tblGrid>
      <w:tr>
        <w:trPr>
          <w:tblHeader/>
        </w:trPr>
        <w:tc>
          <w:tcPr>
            <w:tcW w:type="dxa" w:w="550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Roadmap item</w:t>
            </w:r>
          </w:p>
        </w:tc>
        <w:tc>
          <w:tcPr>
            <w:tcW w:type="dxa" w:w="413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Relevance to the programme</w:t>
            </w:r>
          </w:p>
        </w:tc>
      </w:tr>
      <w:tr>
        <w:tc>
          <w:tcPr>
            <w:tcW w:type="dxa" w:w="550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AV scanning on the Windows MFT runtime using Microsoft Defender, holding each file until a passed, quarantined or error result is reported to the control plane</w:t>
            </w:r>
          </w:p>
        </w:tc>
        <w:tc>
          <w:tcPr>
            <w:tcW w:type="dxa" w:w="413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Could replace the custom MDE scan step and report AV status centrally. Does not by itself remove the size limit (G-15).</w:t>
            </w:r>
          </w:p>
        </w:tc>
      </w:tr>
      <w:tr>
        <w:tc>
          <w:tcPr>
            <w:tcW w:type="dxa" w:w="550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External command on the MFT runtime after download from the Cloud and before delivery to the target</w:t>
            </w:r>
          </w:p>
        </w:tc>
        <w:tc>
          <w:tcPr>
            <w:tcW w:type="dxa" w:w="413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Hook for checksum checks, decryption or local processing.</w:t>
            </w:r>
          </w:p>
        </w:tc>
      </w:tr>
      <w:tr>
        <w:tc>
          <w:tcPr>
            <w:tcW w:type="dxa" w:w="550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 metadata tags (for example data class or encryption) carried into the Activity API, screens and logs</w:t>
            </w:r>
          </w:p>
        </w:tc>
        <w:tc>
          <w:tcPr>
            <w:tcW w:type="dxa" w:w="413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Supports data classification reporting and audit.</w:t>
            </w:r>
          </w:p>
        </w:tc>
      </w:tr>
      <w:tr>
        <w:tc>
          <w:tcPr>
            <w:tcW w:type="dxa" w:w="550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Next-generation MFT Connector</w:t>
            </w:r>
          </w:p>
        </w:tc>
        <w:tc>
          <w:tcPr>
            <w:tcW w:type="dxa" w:w="413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Affects Boomi Integration processes that move files.</w:t>
            </w:r>
          </w:p>
        </w:tc>
      </w:tr>
    </w:tbl>
    <w:p>
      <w:pPr>
        <w:spacing w:after="60"/>
      </w:pPr>
    </w:p>
    <w:p>
      <w:pPr>
        <w:pStyle w:val="Heading1"/>
      </w:pPr>
      <w:r>
        <w:t xml:space="preserve">4. File Sharing (FS)</w:t>
      </w:r>
    </w:p>
    <w:p>
      <w:pPr>
        <w:spacing w:after="120"/>
      </w:pPr>
      <w:r>
        <w:t xml:space="preserve">FS is the person-to-person side of Boomi MFT: a managed, virtualised file system for sharing large files with internal teams and external parties, with the policy controls and audit that email attachments and consumer file-sharing tools lack.</w:t>
      </w:r>
    </w:p>
    <w:p>
      <w:pPr>
        <w:pStyle w:val="Heading2"/>
      </w:pPr>
      <w:r>
        <w:t xml:space="preserve">4.1 Capabilities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3"/>
        <w:gridCol w:w="8085"/>
      </w:tblGrid>
      <w:tr>
        <w:trPr>
          <w:tblHeader/>
        </w:trPr>
        <w:tc>
          <w:tcPr>
            <w:tcW w:type="dxa" w:w="155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Capability</w:t>
            </w:r>
          </w:p>
        </w:tc>
        <w:tc>
          <w:tcPr>
            <w:tcW w:type="dxa" w:w="808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Description</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Web application</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Browse, upload, download and share files and folders from any browser, including mobile browsers. Access is set per folder and per member.</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Secure send</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Send files or folders of any size as a link. Policies can require the recipient to log in, set link expiry and confirm delivery.</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Dropbox</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link that lets people without an MFT account upload files into a user's Dropbox folder. The owner gets an email when files arrive. The URL can be customised.</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Outlook add-in</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Send large attachments as secure links from Outlook. The side panel uploads, downloads and files emails into MFT folders. Installs MFT Explorer for desktop access.</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Office 365 add-in</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Open, edit and save Word, Excel and PowerPoint files held in MFT.</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Salesforce add-in</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Send files from Salesforce securely. Needs an API-enabled Salesforce org (Enterprise edition or above).</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Mobile</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iOS app to open and edit files.</w:t>
            </w:r>
          </w:p>
        </w:tc>
      </w:tr>
      <w:tr>
        <w:tc>
          <w:tcPr>
            <w:tcW w:type="dxa" w:w="155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FS APIs and AFT hand-off</w:t>
            </w:r>
          </w:p>
        </w:tc>
        <w:tc>
          <w:tcPr>
            <w:tcW w:type="dxa" w:w="80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FS APIs support automation. The MFT File Sharing endpoint type lets AFT Flows pick up from or drop into FS folders.</w:t>
            </w:r>
          </w:p>
        </w:tc>
      </w:tr>
    </w:tbl>
    <w:p>
      <w:pPr>
        <w:spacing w:after="60"/>
      </w:pPr>
    </w:p>
    <w:p>
      <w:pPr>
        <w:pStyle w:val="Heading2"/>
      </w:pPr>
      <w:r>
        <w:t xml:space="preserve">4.2 AFT and FS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0"/>
        <w:gridCol w:w="4193"/>
        <w:gridCol w:w="4155"/>
      </w:tblGrid>
      <w:tr>
        <w:trPr>
          <w:tblHeader/>
        </w:trPr>
        <w:tc>
          <w:tcPr>
            <w:tcW w:type="dxa" w:w="129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Aspect</w:t>
            </w:r>
          </w:p>
        </w:tc>
        <w:tc>
          <w:tcPr>
            <w:tcW w:type="dxa" w:w="419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Automated File Transfer (AFT)</w:t>
            </w:r>
          </w:p>
        </w:tc>
        <w:tc>
          <w:tcPr>
            <w:tcW w:type="dxa" w:w="415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File Sharing (FS)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Purpose</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System-to-system, repeatable transfers</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Person-to-person, ad hoc sharing</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Users</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Platform team, partner and system administrators</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Staff, agents, citizens, external stakeholders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Trigger</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Schedule, API run-now, file arrival</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user sends, shares or uploads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Interfaces</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 Studio, protocol endpoints, Activity API, MFT Connector</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Web app, Dropbox links, Outlook, Office 365, Salesforce, mobile, FS APIs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Controls</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 credentials, Flow settings, retries, alerts</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Login on download, link expiry, folder permissions, notifications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Example</w:t>
            </w:r>
          </w:p>
        </w:tc>
        <w:tc>
          <w:tcPr>
            <w:tcW w:type="dxa" w:w="419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Scheduled feed from an internal S3 bucket to a partner SFTP server</w:t>
            </w:r>
          </w:p>
        </w:tc>
        <w:tc>
          <w:tcPr>
            <w:tcW w:type="dxa" w:w="41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citizen uploads evidence through a Dropbox link</w:t>
            </w:r>
          </w:p>
        </w:tc>
      </w:tr>
    </w:tbl>
    <w:p>
      <w:pPr>
        <w:spacing w:after="60"/>
      </w:pPr>
    </w:p>
    <w:p>
      <w:pPr>
        <w:pBdr>
          <w:left w:val="single" w:color="7A5A00" w:sz="24" w:space="6"/>
        </w:pBdr>
        <w:shd w:fill="FDF3D6" w:color="auto" w:val="clear"/>
        <w:spacing w:after="160" w:before="80"/>
      </w:pPr>
      <w:r>
        <w:rPr>
          <w:sz w:val="20"/>
          <w:szCs w:val="20"/>
        </w:rPr>
        <w:t xml:space="preserve">Naming trap: the AFT "File Share" endpoint type is a LAN network share reached through an MFT Node. It is unrelated to the File Sharing (FS) application. Write "File Share endpoint" and "File Sharing (FS)" in full in all material.</w:t>
      </w:r>
    </w:p>
    <w:p>
      <w:pPr>
        <w:pStyle w:val="Heading2"/>
      </w:pPr>
      <w:r>
        <w:t xml:space="preserve">4.3 FS on the programme</w:t>
      </w:r>
    </w:p>
    <w:p>
      <w:pPr>
        <w:spacing w:after="120"/>
      </w:pPr>
      <w:r>
        <w:t xml:space="preserve">The FS capability design covers two use cases: citizens uploading and downloading through MFT Dropbox links, and agents creating dynamic links from within SMIC. FS is not part of the MVP. Six decisions are open and need named owners before FS is offered to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6229"/>
        <w:gridCol w:w="2434"/>
      </w:tblGrid>
      <w:tr>
        <w:trPr>
          <w:tblHeader/>
        </w:trPr>
        <w:tc>
          <w:tcPr>
            <w:tcW w:type="dxa" w:w="97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622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Decision required</w:t>
            </w:r>
          </w:p>
        </w:tc>
        <w:tc>
          <w:tcPr>
            <w:tcW w:type="dxa" w:w="243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Proposed owner role</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D-FS-01</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Dropbox posture for citizens: public link, or protected by registration or login</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D-FS-02</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Dynamic link policy for agents: who can create links, expiry, login requirement and download limits</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Owner with 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D-FS-03</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AV scan ceiling for citizen uploads and the behaviour for files above it (G-15)</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 with 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D-FS-04</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Treatment of the absence of native DLP on the citizen channel</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D-FS-05</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Retention and data protection lifecycle for shared files and links, covered by the DPIA</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Data Protection Officer</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D-FS-06</w:t>
            </w:r>
          </w:p>
        </w:tc>
        <w:tc>
          <w:tcPr>
            <w:tcW w:type="dxa" w:w="62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 terminology for FS features in user-facing and design material</w:t>
            </w:r>
          </w:p>
        </w:tc>
        <w:tc>
          <w:tcPr>
            <w:tcW w:type="dxa" w:w="243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bl>
    <w:p>
      <w:pPr>
        <w:spacing w:after="60"/>
      </w:pPr>
    </w:p>
    <w:p>
      <w:pPr>
        <w:pStyle w:val="Heading1"/>
      </w:pPr>
      <w:r>
        <w:t xml:space="preserve">5. Deployment on the programme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1"/>
        <w:gridCol w:w="8057"/>
      </w:tblGrid>
      <w:tr>
        <w:trPr>
          <w:tblHeader/>
        </w:trPr>
        <w:tc>
          <w:tcPr>
            <w:tcW w:type="dxa" w:w="158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Area</w:t>
            </w:r>
          </w:p>
        </w:tc>
        <w:tc>
          <w:tcPr>
            <w:tcW w:type="dxa" w:w="805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Position</w:t>
            </w:r>
          </w:p>
        </w:tc>
      </w:tr>
      <w:tr>
        <w:tc>
          <w:tcPr>
            <w:tcW w:type="dxa" w:w="158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Environments and instances</w:t>
            </w:r>
          </w:p>
        </w:tc>
        <w:tc>
          <w:tcPr>
            <w:tcW w:type="dxa" w:w="805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Four environments (dev, test, pre-prod, prod), each a separate site with its own vanity DNS name (CNAME to the Boomi MFT host), each hosting three instances. See section 6.</w:t>
            </w:r>
          </w:p>
        </w:tc>
      </w:tr>
      <w:tr>
        <w:tc>
          <w:tcPr>
            <w:tcW w:type="dxa" w:w="158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Runtime</w:t>
            </w:r>
          </w:p>
        </w:tc>
        <w:tc>
          <w:tcPr>
            <w:tcW w:type="dxa" w:w="805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Node on EC2 in the internal AWS estate for internal endpoints (S3, file shares). A clustered Node layer across three availability zones, on AWS with EFS and on Azure with Azure Files, behind a load balancer, is in design.</w:t>
            </w:r>
          </w:p>
        </w:tc>
      </w:tr>
      <w:tr>
        <w:tc>
          <w:tcPr>
            <w:tcW w:type="dxa" w:w="158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Connectivity</w:t>
            </w:r>
          </w:p>
        </w:tc>
        <w:tc>
          <w:tcPr>
            <w:tcW w:type="dxa" w:w="805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Node connects out to the Cloud over HTTPS with token authentication and pulls its configuration by polling. Nothing is opened inbound to the internal network. Partner and SaaS allow-lists must include Boomi Cloud egress IPs, or Node IPs where Node Direct is used.</w:t>
            </w:r>
          </w:p>
        </w:tc>
      </w:tr>
      <w:tr>
        <w:tc>
          <w:tcPr>
            <w:tcW w:type="dxa" w:w="158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Protocols at the edge</w:t>
            </w:r>
          </w:p>
        </w:tc>
        <w:tc>
          <w:tcPr>
            <w:tcW w:type="dxa" w:w="805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SFTP and FTPS cannot be proxied by HTTP-aware load balancers. FTPS needs multi-channel persistence, TLS termination loses client identity, and source NAT breaks IP allow-lists. Run a proving exercise before committing delivery dates.</w:t>
            </w:r>
          </w:p>
        </w:tc>
      </w:tr>
      <w:tr>
        <w:tc>
          <w:tcPr>
            <w:tcW w:type="dxa" w:w="158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Antivirus</w:t>
            </w:r>
          </w:p>
        </w:tc>
        <w:tc>
          <w:tcPr>
            <w:tcW w:type="dxa" w:w="805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Windows MDE scan on the internal route, limit about 250 MB (G-15). Files above the limit need an explicit design and are never released unscanned.</w:t>
            </w:r>
          </w:p>
        </w:tc>
      </w:tr>
      <w:tr>
        <w:tc>
          <w:tcPr>
            <w:tcW w:type="dxa" w:w="158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Node operations</w:t>
            </w:r>
          </w:p>
        </w:tc>
        <w:tc>
          <w:tcPr>
            <w:tcW w:type="dxa" w:w="805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Node caches files locally; Boomi guidance allows up to 1 TB for high volumes or large files. It checks for updates every 15 minutes. Deleting a Node in the portal uninstalls it at its next check. Windows installs run as a scheduled task; Linux uses systemd or crontab.</w:t>
            </w:r>
          </w:p>
        </w:tc>
      </w:tr>
      <w:tr>
        <w:tc>
          <w:tcPr>
            <w:tcW w:type="dxa" w:w="158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Onboarding</w:t>
            </w:r>
          </w:p>
        </w:tc>
        <w:tc>
          <w:tcPr>
            <w:tcW w:type="dxa" w:w="805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Intelligrator self-service portal: an approved request becomes a configuration row consumed by one generic engine, not a new build per interface.</w:t>
            </w:r>
          </w:p>
        </w:tc>
      </w:tr>
      <w:tr>
        <w:tc>
          <w:tcPr>
            <w:tcW w:type="dxa" w:w="158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Current consumer</w:t>
            </w:r>
          </w:p>
        </w:tc>
        <w:tc>
          <w:tcPr>
            <w:tcW w:type="dxa" w:w="805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SDEC uses MFT transient storage for document upload through presigned URLs, with platform enhancements for document status and delete (SDEC-MFT-API-01 to 03).</w:t>
            </w:r>
          </w:p>
        </w:tc>
      </w:tr>
    </w:tbl>
    <w:p>
      <w:pPr>
        <w:spacing w:after="60"/>
      </w:pPr>
    </w:p>
    <w:p>
      <w:pPr>
        <w:pStyle w:val="Heading1"/>
      </w:pPr>
      <w:r>
        <w:t xml:space="preserve">6. Instances and environments</w:t>
      </w:r>
    </w:p>
    <w:p>
      <w:pPr>
        <w:spacing w:after="120"/>
      </w:pPr>
      <w:r>
        <w:t xml:space="preserve">Boomi MFT separates work at four levels: site, instance, organization, and the endpoints, users and machine users inside an organization. The programme runs four environments. Each environment is its own site with its own base URL, and each site hosts the same three instances: Tax, Borders and Trade, and Valuation Office. That gives 12 instances in total, all built to the same pattern.</w:t>
      </w:r>
    </w:p>
    <w:p>
      <w:pPr>
        <w:jc w:val="center"/>
      </w:pPr>
      <w:r>
        <w:drawing>
          <wp:inline distT="0" distB="0" distL="0" distR="0">
            <wp:extent cx="6096000" cy="4267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67200"/>
                    </a:xfrm>
                    <a:prstGeom prst="rect">
                      <a:avLst/>
                    </a:prstGeom>
                  </pic:spPr>
                </pic:pic>
              </a:graphicData>
            </a:graphic>
          </wp:inline>
        </w:drawing>
      </w:r>
    </w:p>
    <w:p>
      <w:pPr>
        <w:spacing w:after="200"/>
        <w:jc w:val="center"/>
      </w:pPr>
      <w:r>
        <w:rPr>
          <w:i/>
          <w:iCs/>
          <w:color w:val="52606D"/>
          <w:sz w:val="18"/>
          <w:szCs w:val="18"/>
        </w:rPr>
        <w:t xml:space="preserve">Figure 3. Environments, instances and the isolation model inside one instance (source: boomi-mft-environments-instances.drawio)</w:t>
      </w:r>
    </w:p>
    <w:p>
      <w:pPr>
        <w:pStyle w:val="Heading2"/>
      </w:pPr>
      <w:r>
        <w:t xml:space="preserve">6.1 How Boomi MFT separates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0"/>
        <w:gridCol w:w="4472"/>
        <w:gridCol w:w="3596"/>
      </w:tblGrid>
      <w:tr>
        <w:trPr>
          <w:tblHeader/>
        </w:trPr>
        <w:tc>
          <w:tcPr>
            <w:tcW w:type="dxa" w:w="157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Level</w:t>
            </w:r>
          </w:p>
        </w:tc>
        <w:tc>
          <w:tcPr>
            <w:tcW w:type="dxa" w:w="447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What it is</w:t>
            </w:r>
          </w:p>
        </w:tc>
        <w:tc>
          <w:tcPr>
            <w:tcW w:type="dxa" w:w="359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On the programme</w:t>
            </w:r>
          </w:p>
        </w:tc>
      </w:tr>
      <w:tr>
        <w:tc>
          <w:tcPr>
            <w:tcW w:type="dxa" w:w="15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Site</w:t>
            </w:r>
          </w:p>
        </w:tc>
        <w:tc>
          <w:tcPr>
            <w:tcW w:type="dxa" w:w="447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One regional deployment, addressed by a single base URL. A site can host one or many instances.</w:t>
            </w:r>
          </w:p>
        </w:tc>
        <w:tc>
          <w:tcPr>
            <w:tcW w:type="dxa" w:w="35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One site per environment: dev, test, pre-prod and prod.</w:t>
            </w:r>
          </w:p>
        </w:tc>
      </w:tr>
      <w:tr>
        <w:tc>
          <w:tcPr>
            <w:tcW w:type="dxa" w:w="15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Instance</w:t>
            </w:r>
          </w:p>
        </w:tc>
        <w:tc>
          <w:tcPr>
            <w:tcW w:type="dxa" w:w="447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logically isolated tenant. It cannot see or touch another instance's data, configuration or users.</w:t>
            </w:r>
          </w:p>
        </w:tc>
        <w:tc>
          <w:tcPr>
            <w:tcW w:type="dxa" w:w="35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Three instances in every site: Tax, Borders and Trade, Valuation Office.</w:t>
            </w:r>
          </w:p>
        </w:tc>
      </w:tr>
      <w:tr>
        <w:tc>
          <w:tcPr>
            <w:tcW w:type="dxa" w:w="15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Organization</w:t>
            </w:r>
          </w:p>
        </w:tc>
        <w:tc>
          <w:tcPr>
            <w:tcW w:type="dxa" w:w="447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 entity inside an instance, such as a business unit, product team or trading partner. It owns its own connections, flows and keys.</w:t>
            </w:r>
          </w:p>
        </w:tc>
        <w:tc>
          <w:tcPr>
            <w:tcW w:type="dxa" w:w="35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One organization per product team or partner, created by the iPaaS team (section 7).</w:t>
            </w:r>
          </w:p>
        </w:tc>
      </w:tr>
      <w:tr>
        <w:tc>
          <w:tcPr>
            <w:tcW w:type="dxa" w:w="157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Endpoints, users and machine users</w:t>
            </w:r>
          </w:p>
        </w:tc>
        <w:tc>
          <w:tcPr>
            <w:tcW w:type="dxa" w:w="447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 organization's connection points, human accounts and service accounts. Each is scoped to that organization only.</w:t>
            </w:r>
          </w:p>
        </w:tc>
        <w:tc>
          <w:tcPr>
            <w:tcW w:type="dxa" w:w="35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Endpoints are created by the team's Standard_Admin, flows by its Standard_User (section 7).</w:t>
            </w:r>
          </w:p>
        </w:tc>
      </w:tr>
    </w:tbl>
    <w:p>
      <w:pPr>
        <w:spacing w:after="60"/>
      </w:pPr>
    </w:p>
    <w:p>
      <w:pPr>
        <w:pStyle w:val="Heading2"/>
      </w:pPr>
      <w:r>
        <w:t xml:space="preserve">6.2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943"/>
        <w:gridCol w:w="2116"/>
        <w:gridCol w:w="1889"/>
        <w:gridCol w:w="1938"/>
      </w:tblGrid>
      <w:tr>
        <w:trPr>
          <w:tblHeader/>
        </w:trPr>
        <w:tc>
          <w:tcPr>
            <w:tcW w:type="dxa" w:w="175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Environment</w:t>
            </w:r>
          </w:p>
        </w:tc>
        <w:tc>
          <w:tcPr>
            <w:tcW w:type="dxa" w:w="194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Site base URL (proposed)</w:t>
            </w:r>
          </w:p>
        </w:tc>
        <w:tc>
          <w:tcPr>
            <w:tcW w:type="dxa" w:w="211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Purpose</w:t>
            </w:r>
          </w:p>
        </w:tc>
        <w:tc>
          <w:tcPr>
            <w:tcW w:type="dxa" w:w="188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Data allowed</w:t>
            </w:r>
          </w:p>
        </w:tc>
        <w:tc>
          <w:tcPr>
            <w:tcW w:type="dxa" w:w="193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How configuration changes</w:t>
            </w:r>
          </w:p>
        </w:tc>
      </w:tr>
      <w:tr>
        <w:tc>
          <w:tcPr>
            <w:tcW w:type="dxa" w:w="175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Development (dev)</w:t>
            </w:r>
          </w:p>
        </w:tc>
        <w:tc>
          <w:tcPr>
            <w:tcW w:type="dxa" w:w="19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mft-dev.&lt;domain&gt;</w:t>
            </w:r>
          </w:p>
        </w:tc>
        <w:tc>
          <w:tcPr>
            <w:tcW w:type="dxa" w:w="211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Build and unit test flows. Product teams self-serve.</w:t>
            </w:r>
          </w:p>
        </w:tc>
        <w:tc>
          <w:tcPr>
            <w:tcW w:type="dxa" w:w="188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Synthetic only</w:t>
            </w:r>
          </w:p>
        </w:tc>
        <w:tc>
          <w:tcPr>
            <w:tcW w:type="dxa" w:w="19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Built by the product team's Standard_Admin and Standard_User</w:t>
            </w:r>
          </w:p>
        </w:tc>
      </w:tr>
      <w:tr>
        <w:tc>
          <w:tcPr>
            <w:tcW w:type="dxa" w:w="175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Test (test)</w:t>
            </w:r>
          </w:p>
        </w:tc>
        <w:tc>
          <w:tcPr>
            <w:tcW w:type="dxa" w:w="19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mft-tst.&lt;domain&gt;</w:t>
            </w:r>
          </w:p>
        </w:tc>
        <w:tc>
          <w:tcPr>
            <w:tcW w:type="dxa" w:w="211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System and integration testing, partner connectivity tests</w:t>
            </w:r>
          </w:p>
        </w:tc>
        <w:tc>
          <w:tcPr>
            <w:tcW w:type="dxa" w:w="188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Synthetic or masked</w:t>
            </w:r>
          </w:p>
        </w:tc>
        <w:tc>
          <w:tcPr>
            <w:tcW w:type="dxa" w:w="19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Promoted from dev; fixes are made in dev and promoted again</w:t>
            </w:r>
          </w:p>
        </w:tc>
      </w:tr>
      <w:tr>
        <w:tc>
          <w:tcPr>
            <w:tcW w:type="dxa" w:w="175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Pre-production (pre-prod)</w:t>
            </w:r>
          </w:p>
        </w:tc>
        <w:tc>
          <w:tcPr>
            <w:tcW w:type="dxa" w:w="19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mft-ppd.&lt;domain&gt;</w:t>
            </w:r>
          </w:p>
        </w:tc>
        <w:tc>
          <w:tcPr>
            <w:tcW w:type="dxa" w:w="211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Production-like rehearsal: operational acceptance, release rehearsal, volume checks</w:t>
            </w:r>
          </w:p>
        </w:tc>
        <w:tc>
          <w:tcPr>
            <w:tcW w:type="dxa" w:w="188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Masked or approved production-like data (D-ENV-04)</w:t>
            </w:r>
          </w:p>
        </w:tc>
        <w:tc>
          <w:tcPr>
            <w:tcW w:type="dxa" w:w="19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Promotion only</w:t>
            </w:r>
          </w:p>
        </w:tc>
      </w:tr>
      <w:tr>
        <w:tc>
          <w:tcPr>
            <w:tcW w:type="dxa" w:w="175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Production (prod)</w:t>
            </w:r>
          </w:p>
        </w:tc>
        <w:tc>
          <w:tcPr>
            <w:tcW w:type="dxa" w:w="19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mft.&lt;domain&gt;</w:t>
            </w:r>
          </w:p>
        </w:tc>
        <w:tc>
          <w:tcPr>
            <w:tcW w:type="dxa" w:w="211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Live transfers</w:t>
            </w:r>
          </w:p>
        </w:tc>
        <w:tc>
          <w:tcPr>
            <w:tcW w:type="dxa" w:w="188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Live</w:t>
            </w:r>
          </w:p>
        </w:tc>
        <w:tc>
          <w:tcPr>
            <w:tcW w:type="dxa" w:w="19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Promotion only, under change control</w:t>
            </w:r>
          </w:p>
        </w:tc>
      </w:tr>
    </w:tbl>
    <w:p>
      <w:pPr>
        <w:spacing w:after="60"/>
      </w:pPr>
    </w:p>
    <w:p>
      <w:pPr>
        <w:pBdr>
          <w:left w:val="single" w:color="7A5A00" w:sz="24" w:space="6"/>
        </w:pBdr>
        <w:shd w:fill="FDF3D6" w:color="auto" w:val="clear"/>
        <w:spacing w:after="160" w:before="80"/>
      </w:pPr>
      <w:r>
        <w:rPr>
          <w:sz w:val="20"/>
          <w:szCs w:val="20"/>
        </w:rPr>
        <w:t xml:space="preserve">Base URLs are a proposed pattern. Where vanity DNS names are already allocated, those names are used and this table is updated to match.</w:t>
      </w:r>
    </w:p>
    <w:p>
      <w:pPr>
        <w:pStyle w:val="Heading2"/>
      </w:pPr>
      <w:r>
        <w:t xml:space="preserve">6.3 Instances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5"/>
        <w:gridCol w:w="765"/>
        <w:gridCol w:w="7688"/>
      </w:tblGrid>
      <w:tr>
        <w:trPr>
          <w:tblHeader/>
        </w:trPr>
        <w:tc>
          <w:tcPr>
            <w:tcW w:type="dxa" w:w="118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Instance</w:t>
            </w:r>
          </w:p>
        </w:tc>
        <w:tc>
          <w:tcPr>
            <w:tcW w:type="dxa" w:w="76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Code used in names</w:t>
            </w:r>
          </w:p>
        </w:tc>
        <w:tc>
          <w:tcPr>
            <w:tcW w:type="dxa" w:w="768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Covers</w:t>
            </w:r>
          </w:p>
        </w:tc>
      </w:tr>
      <w:tr>
        <w:tc>
          <w:tcPr>
            <w:tcW w:type="dxa" w:w="1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w:t>
            </w:r>
          </w:p>
        </w:tc>
        <w:tc>
          <w:tcPr>
            <w:tcW w:type="dxa" w:w="7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w:t>
            </w:r>
          </w:p>
        </w:tc>
        <w:tc>
          <w:tcPr>
            <w:tcW w:type="dxa" w:w="76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transfers for tax services, their product teams and partners</w:t>
            </w:r>
          </w:p>
        </w:tc>
      </w:tr>
      <w:tr>
        <w:tc>
          <w:tcPr>
            <w:tcW w:type="dxa" w:w="1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Borders and Trade</w:t>
            </w:r>
          </w:p>
        </w:tc>
        <w:tc>
          <w:tcPr>
            <w:tcW w:type="dxa" w:w="7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BDT</w:t>
            </w:r>
          </w:p>
        </w:tc>
        <w:tc>
          <w:tcPr>
            <w:tcW w:type="dxa" w:w="76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transfers for customs, borders and trade services, their product teams and partners</w:t>
            </w:r>
          </w:p>
        </w:tc>
      </w:tr>
      <w:tr>
        <w:tc>
          <w:tcPr>
            <w:tcW w:type="dxa" w:w="1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Valuation Office</w:t>
            </w:r>
          </w:p>
        </w:tc>
        <w:tc>
          <w:tcPr>
            <w:tcW w:type="dxa" w:w="7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VOA</w:t>
            </w:r>
          </w:p>
        </w:tc>
        <w:tc>
          <w:tcPr>
            <w:tcW w:type="dxa" w:w="76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transfers for property valuation services, their product teams and partners</w:t>
            </w:r>
          </w:p>
        </w:tc>
      </w:tr>
    </w:tbl>
    <w:p>
      <w:pPr>
        <w:spacing w:after="60"/>
      </w:pPr>
    </w:p>
    <w:p>
      <w:pPr>
        <w:pStyle w:val="Heading2"/>
      </w:pPr>
      <w:r>
        <w:t xml:space="preserve">6.4 Rules</w:t>
      </w:r>
    </w:p>
    <w:p>
      <w:pPr>
        <w:pStyle w:val="ListParagraph"/>
        <w:numPr>
          <w:ilvl w:val="0"/>
          <w:numId w:val="2"/>
        </w:numPr>
      </w:pPr>
      <w:r>
        <w:t xml:space="preserve">Each instance is set up the same way in every environment: the same organizations, endpoint names and flow names, with environment-specific values (hosts, paths, credentials). Promotion then changes values, not names.</w:t>
      </w:r>
    </w:p>
    <w:p>
      <w:pPr>
        <w:pStyle w:val="ListParagraph"/>
        <w:numPr>
          <w:ilvl w:val="0"/>
          <w:numId w:val="2"/>
        </w:numPr>
      </w:pPr>
      <w:r>
        <w:t xml:space="preserve">No flow crosses an instance boundary. A transfer between business areas in different instances goes through a location both can reach, with a flow in each instance (D-ENV-01).</w:t>
      </w:r>
    </w:p>
    <w:p>
      <w:pPr>
        <w:pStyle w:val="ListParagraph"/>
        <w:numPr>
          <w:ilvl w:val="0"/>
          <w:numId w:val="2"/>
        </w:numPr>
      </w:pPr>
      <w:r>
        <w:t xml:space="preserve">Live data only in prod. Dev and test use synthetic data; pre-prod data follows D-ENV-04.</w:t>
      </w:r>
    </w:p>
    <w:p>
      <w:pPr>
        <w:pStyle w:val="ListParagraph"/>
        <w:numPr>
          <w:ilvl w:val="0"/>
          <w:numId w:val="2"/>
        </w:numPr>
      </w:pPr>
      <w:r>
        <w:t xml:space="preserve">MFT Nodes are created under an organization and are separate in each environment. A dev Node never serves test, pre-prod or prod. Whether one Node can serve several organizations or instances is to be confirmed with Boomi (D-ENV-02).</w:t>
      </w:r>
    </w:p>
    <w:p>
      <w:pPr>
        <w:pStyle w:val="ListParagraph"/>
        <w:numPr>
          <w:ilvl w:val="0"/>
          <w:numId w:val="2"/>
        </w:numPr>
      </w:pPr>
      <w:r>
        <w:t xml:space="preserve">The iPaaS team administers all 12 instances. Product teams get access only to their own organization, set per environment (section 7.6).</w:t>
      </w:r>
    </w:p>
    <w:p>
      <w:pPr>
        <w:pStyle w:val="ListParagraph"/>
        <w:numPr>
          <w:ilvl w:val="0"/>
          <w:numId w:val="2"/>
        </w:numPr>
      </w:pPr>
      <w:r>
        <w:t xml:space="preserve">Configuration moves dev, then test, then pre-prod, then prod. There is no native CI/CD for MFT configuration (G-13), so the promotion method is a decision (D-ENV-03; D-MVP-06 covers the MVP).</w:t>
      </w:r>
    </w:p>
    <w:p>
      <w:pPr>
        <w:pStyle w:val="Heading2"/>
      </w:pPr>
      <w:r>
        <w:t xml:space="preserve">6.5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0"/>
        <w:gridCol w:w="6060"/>
        <w:gridCol w:w="2498"/>
      </w:tblGrid>
      <w:tr>
        <w:trPr>
          <w:tblHeader/>
        </w:trPr>
        <w:tc>
          <w:tcPr>
            <w:tcW w:type="dxa" w:w="108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606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Decision required</w:t>
            </w:r>
          </w:p>
        </w:tc>
        <w:tc>
          <w:tcPr>
            <w:tcW w:type="dxa" w:w="249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Proposed owner role</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D-ENV-01</w:t>
            </w:r>
          </w:p>
        </w:tc>
        <w:tc>
          <w:tcPr>
            <w:tcW w:type="dxa" w:w="60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Pattern for a transfer between business areas held in different instances</w:t>
            </w:r>
          </w:p>
        </w:tc>
        <w:tc>
          <w:tcPr>
            <w:tcW w:type="dxa" w:w="249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D-ENV-02</w:t>
            </w:r>
          </w:p>
        </w:tc>
        <w:tc>
          <w:tcPr>
            <w:tcW w:type="dxa" w:w="60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Node scope (per organization, instance or environment), count and sizing</w:t>
            </w:r>
          </w:p>
        </w:tc>
        <w:tc>
          <w:tcPr>
            <w:tcW w:type="dxa" w:w="249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D-ENV-03</w:t>
            </w:r>
          </w:p>
        </w:tc>
        <w:tc>
          <w:tcPr>
            <w:tcW w:type="dxa" w:w="60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promotion mechanism and rollback for the service (G-13)</w:t>
            </w:r>
          </w:p>
        </w:tc>
        <w:tc>
          <w:tcPr>
            <w:tcW w:type="dxa" w:w="249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D-ENV-04</w:t>
            </w:r>
          </w:p>
        </w:tc>
        <w:tc>
          <w:tcPr>
            <w:tcW w:type="dxa" w:w="60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Data allowed in pre-prod: masked, or approved production-like</w:t>
            </w:r>
          </w:p>
        </w:tc>
        <w:tc>
          <w:tcPr>
            <w:tcW w:type="dxa" w:w="249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Data Protection Officer with Security Architect</w:t>
            </w:r>
          </w:p>
        </w:tc>
      </w:tr>
    </w:tbl>
    <w:p>
      <w:pPr>
        <w:spacing w:after="60"/>
      </w:pPr>
    </w:p>
    <w:p>
      <w:pPr>
        <w:pStyle w:val="Heading1"/>
      </w:pPr>
      <w:r>
        <w:t xml:space="preserve">7. Roles and access</w:t>
      </w:r>
    </w:p>
    <w:p>
      <w:pPr>
        <w:spacing w:after="120"/>
      </w:pPr>
      <w:r>
        <w:t xml:space="preserve">Product and development teams build their own transfers under a controlled self-service model. Creating a flow is straightforward. The control point is the type and level of access each team gets, which this section sets out. It follows Approach B from the role design note: each product team is given an organization and works inside it.</w:t>
      </w:r>
    </w:p>
    <w:p>
      <w:pPr>
        <w:pStyle w:val="Heading2"/>
      </w:pPr>
      <w:r>
        <w:t xml:space="preserve">7.1 Self-service context</w:t>
      </w:r>
    </w:p>
    <w:p>
      <w:pPr>
        <w:spacing w:after="120"/>
      </w:pPr>
      <w:r>
        <w:t xml:space="preserve">Three transfer patterns are in scope for self-service: internal to internal (within our estate), internal to external (to trusted or untrusted external parties), and external to internal (from trusted or untrusted external parties). The MVP also tests external to external. Flows are built using one of four mechanisms, chosen by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2"/>
        <w:gridCol w:w="3914"/>
        <w:gridCol w:w="3942"/>
      </w:tblGrid>
      <w:tr>
        <w:trPr>
          <w:tblHeader/>
        </w:trPr>
        <w:tc>
          <w:tcPr>
            <w:tcW w:type="dxa" w:w="178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Mechanism</w:t>
            </w:r>
          </w:p>
        </w:tc>
        <w:tc>
          <w:tcPr>
            <w:tcW w:type="dxa" w:w="391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How it works</w:t>
            </w:r>
          </w:p>
        </w:tc>
        <w:tc>
          <w:tcPr>
            <w:tcW w:type="dxa" w:w="394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Notes</w:t>
            </w:r>
          </w:p>
        </w:tc>
      </w:tr>
      <w:tr>
        <w:tc>
          <w:tcPr>
            <w:tcW w:type="dxa" w:w="178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1. Scheduled flow</w:t>
            </w:r>
          </w:p>
        </w:tc>
        <w:tc>
          <w:tcPr>
            <w:tcW w:type="dxa" w:w="39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 AFT flow with a schedule picks up files from a location at a set time or within a time window</w:t>
            </w:r>
          </w:p>
        </w:tc>
        <w:tc>
          <w:tcPr>
            <w:tcW w:type="dxa" w:w="3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Default choice</w:t>
            </w:r>
          </w:p>
        </w:tc>
      </w:tr>
      <w:tr>
        <w:tc>
          <w:tcPr>
            <w:tcW w:type="dxa" w:w="178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2. API-triggered flow</w:t>
            </w:r>
          </w:p>
        </w:tc>
        <w:tc>
          <w:tcPr>
            <w:tcW w:type="dxa" w:w="39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 AFT flow started by an API call</w:t>
            </w:r>
          </w:p>
        </w:tc>
        <w:tc>
          <w:tcPr>
            <w:tcW w:type="dxa" w:w="3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Many current transfers are API triggered. Confirm a schedule is not enough before using this (D-RA-07).</w:t>
            </w:r>
          </w:p>
        </w:tc>
      </w:tr>
      <w:tr>
        <w:tc>
          <w:tcPr>
            <w:tcW w:type="dxa" w:w="178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3. API upload</w:t>
            </w:r>
          </w:p>
        </w:tc>
        <w:tc>
          <w:tcPr>
            <w:tcW w:type="dxa" w:w="39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An API call carries the file and triggers a flow that drops it at a set location</w:t>
            </w:r>
          </w:p>
        </w:tc>
        <w:tc>
          <w:tcPr>
            <w:tcW w:type="dxa" w:w="3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Packaged as a Boomi Integration template for developers</w:t>
            </w:r>
          </w:p>
        </w:tc>
      </w:tr>
      <w:tr>
        <w:tc>
          <w:tcPr>
            <w:tcW w:type="dxa" w:w="178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4. Pre-signed URL</w:t>
            </w:r>
          </w:p>
        </w:tc>
        <w:tc>
          <w:tcPr>
            <w:tcW w:type="dxa" w:w="39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REST endpoint returns pre-signed URLs so digital applications can upload citizen documents to a set location</w:t>
            </w:r>
          </w:p>
        </w:tc>
        <w:tc>
          <w:tcPr>
            <w:tcW w:type="dxa" w:w="3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Supported through an iFrame component in FS and AFT, injected into the digital front end. A pre-signed URL that can be called by API has been requested from Boomi.</w:t>
            </w:r>
          </w:p>
        </w:tc>
      </w:tr>
    </w:tbl>
    <w:p>
      <w:pPr>
        <w:spacing w:after="60"/>
      </w:pPr>
    </w:p>
    <w:p>
      <w:pPr>
        <w:spacing w:after="120"/>
      </w:pPr>
      <w:r>
        <w:t xml:space="preserve">For faster delivery, the API interactions in mechanisms 2 to 4 are packaged as templates in Boomi Integration that developers reuse.</w:t>
      </w:r>
    </w:p>
    <w:p>
      <w:pPr>
        <w:pStyle w:val="Heading2"/>
      </w:pPr>
      <w:r>
        <w:t xml:space="preserve">7.2 What teams create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9"/>
        <w:gridCol w:w="6064"/>
        <w:gridCol w:w="2045"/>
      </w:tblGrid>
      <w:tr>
        <w:trPr>
          <w:tblHeader/>
        </w:trPr>
        <w:tc>
          <w:tcPr>
            <w:tcW w:type="dxa" w:w="1529"/>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Object</w:t>
            </w:r>
          </w:p>
        </w:tc>
        <w:tc>
          <w:tcPr>
            <w:tcW w:type="dxa" w:w="606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Holds</w:t>
            </w:r>
          </w:p>
        </w:tc>
        <w:tc>
          <w:tcPr>
            <w:tcW w:type="dxa" w:w="204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Created by</w:t>
            </w:r>
          </w:p>
        </w:tc>
      </w:tr>
      <w:tr>
        <w:tc>
          <w:tcPr>
            <w:tcW w:type="dxa" w:w="15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Organization endpoint</w:t>
            </w:r>
          </w:p>
        </w:tc>
        <w:tc>
          <w:tcPr>
            <w:tcW w:type="dxa" w:w="606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Server and connection details: protocol or connector type, host (IP) and port, username and password or key</w:t>
            </w:r>
          </w:p>
        </w:tc>
        <w:tc>
          <w:tcPr>
            <w:tcW w:type="dxa" w:w="20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Standard_Admin</w:t>
            </w:r>
          </w:p>
        </w:tc>
      </w:tr>
      <w:tr>
        <w:tc>
          <w:tcPr>
            <w:tcW w:type="dxa" w:w="15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 endpoint</w:t>
            </w:r>
          </w:p>
        </w:tc>
        <w:tc>
          <w:tcPr>
            <w:tcW w:type="dxa" w:w="606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How a flow uses an organization endpoint: pickup or drop-off directory, trigger details, processing such as encryption and AV scan</w:t>
            </w:r>
          </w:p>
        </w:tc>
        <w:tc>
          <w:tcPr>
            <w:tcW w:type="dxa" w:w="20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Standard_User, as part of a flow</w:t>
            </w:r>
          </w:p>
        </w:tc>
      </w:tr>
      <w:tr>
        <w:tc>
          <w:tcPr>
            <w:tcW w:type="dxa" w:w="1529"/>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w:t>
            </w:r>
          </w:p>
        </w:tc>
        <w:tc>
          <w:tcPr>
            <w:tcW w:type="dxa" w:w="606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The transfer from source to one or more targets, using the organization's endpoints and properties</w:t>
            </w:r>
          </w:p>
        </w:tc>
        <w:tc>
          <w:tcPr>
            <w:tcW w:type="dxa" w:w="20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Standard_User</w:t>
            </w:r>
          </w:p>
        </w:tc>
      </w:tr>
    </w:tbl>
    <w:p>
      <w:pPr>
        <w:spacing w:after="60"/>
      </w:pPr>
    </w:p>
    <w:p>
      <w:pPr>
        <w:pStyle w:val="Heading2"/>
      </w:pPr>
      <w:r>
        <w:t xml:space="preserve">7.3 Approach B: one organization per product team</w:t>
      </w:r>
    </w:p>
    <w:p>
      <w:pPr>
        <w:spacing w:after="120"/>
      </w:pPr>
      <w:r>
        <w:t xml:space="preserve">The iPaaS team creates an organization for each product team, named after the product or project, in each instance and environment the team uses. Inside it the team creates endpoints (following the naming conventions in section 8), creates flows and reuses its endpoints across its flows. Teams cannot create organizations. Further organizations are created by the iPaaS team when needed. Access to another team's organization is restricted and granted only on a need basis.</w:t>
      </w:r>
    </w:p>
    <w:p>
      <w:pPr>
        <w:jc w:val="center"/>
      </w:pPr>
      <w:r>
        <w:drawing>
          <wp:inline distT="0" distB="0" distL="0" distR="0">
            <wp:extent cx="6096000" cy="4076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076700"/>
                    </a:xfrm>
                    <a:prstGeom prst="rect">
                      <a:avLst/>
                    </a:prstGeom>
                  </pic:spPr>
                </pic:pic>
              </a:graphicData>
            </a:graphic>
          </wp:inline>
        </w:drawing>
      </w:r>
    </w:p>
    <w:p>
      <w:pPr>
        <w:spacing w:after="200"/>
        <w:jc w:val="center"/>
      </w:pPr>
      <w:r>
        <w:rPr>
          <w:i/>
          <w:iCs/>
          <w:color w:val="52606D"/>
          <w:sz w:val="18"/>
          <w:szCs w:val="18"/>
        </w:rPr>
        <w:t xml:space="preserve">Figure 4. Approach B: a product team organization with its endpoints, flows and roles (source: boomi-mft-roles-approach-b.drawio)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0"/>
        <w:gridCol w:w="8348"/>
      </w:tblGrid>
      <w:tr>
        <w:trPr>
          <w:tblHeader/>
        </w:trPr>
        <w:tc>
          <w:tcPr>
            <w:tcW w:type="dxa" w:w="129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Assessment of Approach B</w:t>
            </w:r>
          </w:p>
        </w:tc>
        <w:tc>
          <w:tcPr>
            <w:tcW w:type="dxa" w:w="834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Detail</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Strength</w:t>
            </w:r>
          </w:p>
        </w:tc>
        <w:tc>
          <w:tcPr>
            <w:tcW w:type="dxa" w:w="83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Easy to set up with existing Boomi roles or custom permissions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Strength</w:t>
            </w:r>
          </w:p>
        </w:tc>
        <w:tc>
          <w:tcPr>
            <w:tcW w:type="dxa" w:w="83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Teams move quickly: they own their endpoints and flows end to end</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Strength</w:t>
            </w:r>
          </w:p>
        </w:tc>
        <w:tc>
          <w:tcPr>
            <w:tcW w:type="dxa" w:w="83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Simpler delivery pipeline, because teams can update their own endpoints</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Limitation</w:t>
            </w:r>
          </w:p>
        </w:tc>
        <w:tc>
          <w:tcPr>
            <w:tcW w:type="dxa" w:w="83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Less central control over endpoint quality and reuse, so naming conventions and periodic review matter</w:t>
            </w:r>
          </w:p>
        </w:tc>
      </w:tr>
      <w:tr>
        <w:tc>
          <w:tcPr>
            <w:tcW w:type="dxa" w:w="129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Limitation</w:t>
            </w:r>
          </w:p>
        </w:tc>
        <w:tc>
          <w:tcPr>
            <w:tcW w:type="dxa" w:w="83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promotion still has no native CI/CD (G-13); a simpler pipeline does not remove that gap (D-ENV-03)</w:t>
            </w:r>
          </w:p>
        </w:tc>
      </w:tr>
    </w:tbl>
    <w:p>
      <w:pPr>
        <w:spacing w:after="60"/>
      </w:pPr>
    </w:p>
    <w:p>
      <w:pPr>
        <w:pStyle w:val="Heading2"/>
      </w:pPr>
      <w:r>
        <w:t xml:space="preserve">7.4 Role types</w:t>
      </w:r>
    </w:p>
    <w:p>
      <w:pPr>
        <w:spacing w:after="120"/>
      </w:pPr>
      <w:r>
        <w:t xml:space="preserve">Each product team gets two role types in its organization: administrators (Standard_Admin) and developers (Standard_User). The iPaaS team holds platform administration. Machine users are accounts, not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7"/>
        <w:gridCol w:w="1725"/>
        <w:gridCol w:w="3628"/>
        <w:gridCol w:w="2248"/>
      </w:tblGrid>
      <w:tr>
        <w:trPr>
          <w:tblHeader/>
        </w:trPr>
        <w:tc>
          <w:tcPr>
            <w:tcW w:type="dxa" w:w="203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Role</w:t>
            </w:r>
          </w:p>
        </w:tc>
        <w:tc>
          <w:tcPr>
            <w:tcW w:type="dxa" w:w="172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Assigned to</w:t>
            </w:r>
          </w:p>
        </w:tc>
        <w:tc>
          <w:tcPr>
            <w:tcW w:type="dxa" w:w="362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Can</w:t>
            </w:r>
          </w:p>
        </w:tc>
        <w:tc>
          <w:tcPr>
            <w:tcW w:type="dxa" w:w="224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Cannot</w:t>
            </w:r>
          </w:p>
        </w:tc>
      </w:tr>
      <w:tr>
        <w:tc>
          <w:tcPr>
            <w:tcW w:type="dxa" w:w="203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iPaaS platform admin</w:t>
            </w:r>
          </w:p>
        </w:tc>
        <w:tc>
          <w:tcPr>
            <w:tcW w:type="dxa" w:w="17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iPaaS team</w:t>
            </w:r>
          </w:p>
        </w:tc>
        <w:tc>
          <w:tcPr>
            <w:tcW w:type="dxa" w:w="362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organizations, assign roles, register MFT runtimes, grant cross-organization access, view all activity</w:t>
            </w:r>
          </w:p>
        </w:tc>
        <w:tc>
          <w:tcPr>
            <w:tcW w:type="dxa" w:w="22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Build product team flows (by convention)</w:t>
            </w:r>
          </w:p>
        </w:tc>
      </w:tr>
      <w:tr>
        <w:tc>
          <w:tcPr>
            <w:tcW w:type="dxa" w:w="203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Standard_Admin (administrator)</w:t>
            </w:r>
          </w:p>
        </w:tc>
        <w:tc>
          <w:tcPr>
            <w:tcW w:type="dxa" w:w="17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Lead or owner of the project or product</w:t>
            </w:r>
          </w:p>
        </w:tc>
        <w:tc>
          <w:tcPr>
            <w:tcW w:type="dxa" w:w="362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View its assigned organization, create and change organization endpoints, and everything Standard_User can do</w:t>
            </w:r>
          </w:p>
        </w:tc>
        <w:tc>
          <w:tcPr>
            <w:tcW w:type="dxa" w:w="22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organizations; see other organizations unless granted</w:t>
            </w:r>
          </w:p>
        </w:tc>
      </w:tr>
      <w:tr>
        <w:tc>
          <w:tcPr>
            <w:tcW w:type="dxa" w:w="203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Standard_User (developer)</w:t>
            </w:r>
          </w:p>
        </w:tc>
        <w:tc>
          <w:tcPr>
            <w:tcW w:type="dxa" w:w="17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Developers in the product team</w:t>
            </w:r>
          </w:p>
        </w:tc>
        <w:tc>
          <w:tcPr>
            <w:tcW w:type="dxa" w:w="362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flows using the organization's endpoints and properties, view alerts and file activity</w:t>
            </w:r>
          </w:p>
        </w:tc>
        <w:tc>
          <w:tcPr>
            <w:tcW w:type="dxa" w:w="22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organization endpoints or organizations</w:t>
            </w:r>
          </w:p>
        </w:tc>
      </w:tr>
      <w:tr>
        <w:tc>
          <w:tcPr>
            <w:tcW w:type="dxa" w:w="203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Machine user (account)</w:t>
            </w:r>
          </w:p>
        </w:tc>
        <w:tc>
          <w:tcPr>
            <w:tcW w:type="dxa" w:w="17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One service or API account per integration</w:t>
            </w:r>
          </w:p>
        </w:tc>
        <w:tc>
          <w:tcPr>
            <w:tcW w:type="dxa" w:w="362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Trigger flows, upload files, request pre-signed URLs through the API</w:t>
            </w:r>
          </w:p>
        </w:tc>
        <w:tc>
          <w:tcPr>
            <w:tcW w:type="dxa" w:w="224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Sign in to the portal</w:t>
            </w:r>
          </w:p>
        </w:tc>
      </w:tr>
    </w:tbl>
    <w:p>
      <w:pPr>
        <w:spacing w:after="60"/>
      </w:pPr>
    </w:p>
    <w:p>
      <w:pPr>
        <w:pStyle w:val="Heading2"/>
      </w:pPr>
      <w:r>
        <w:t xml:space="preserve">7.5 Permission matrix</w:t>
      </w:r>
    </w:p>
    <w:p>
      <w:pPr>
        <w:spacing w:after="120"/>
      </w:pPr>
      <w:r>
        <w:t xml:space="preserve">As set out in the role design note, with the iPaaS column added. The comments flag where this page proposes a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5"/>
        <w:gridCol w:w="1605"/>
        <w:gridCol w:w="1815"/>
        <w:gridCol w:w="1080"/>
        <w:gridCol w:w="2613"/>
      </w:tblGrid>
      <w:tr>
        <w:trPr>
          <w:tblHeader/>
        </w:trPr>
        <w:tc>
          <w:tcPr>
            <w:tcW w:type="dxa" w:w="252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Category</w:t>
            </w:r>
          </w:p>
        </w:tc>
        <w:tc>
          <w:tcPr>
            <w:tcW w:type="dxa" w:w="160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Standard_User (developer)</w:t>
            </w:r>
          </w:p>
        </w:tc>
        <w:tc>
          <w:tcPr>
            <w:tcW w:type="dxa" w:w="181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Standard_Admin (administrator)</w:t>
            </w:r>
          </w:p>
        </w:tc>
        <w:tc>
          <w:tcPr>
            <w:tcW w:type="dxa" w:w="108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iPaaS platform admin</w:t>
            </w:r>
          </w:p>
        </w:tc>
        <w:tc>
          <w:tcPr>
            <w:tcW w:type="dxa" w:w="261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Comments</w:t>
            </w:r>
          </w:p>
        </w:tc>
      </w:tr>
      <w:tr>
        <w:tc>
          <w:tcPr>
            <w:tcW w:type="dxa" w:w="25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organization</w:t>
            </w:r>
          </w:p>
        </w:tc>
        <w:tc>
          <w:tcPr>
            <w:tcW w:type="dxa" w:w="160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w:t>
            </w:r>
          </w:p>
        </w:tc>
        <w:tc>
          <w:tcPr>
            <w:tcW w:type="dxa" w:w="181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w:t>
            </w:r>
          </w:p>
        </w:tc>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2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Only iPaaS admins create organizations</w:t>
            </w:r>
          </w:p>
        </w:tc>
      </w:tr>
      <w:tr>
        <w:tc>
          <w:tcPr>
            <w:tcW w:type="dxa" w:w="25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organization endpoint</w:t>
            </w:r>
          </w:p>
        </w:tc>
        <w:tc>
          <w:tcPr>
            <w:tcW w:type="dxa" w:w="160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w:t>
            </w:r>
          </w:p>
        </w:tc>
        <w:tc>
          <w:tcPr>
            <w:tcW w:type="dxa" w:w="181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2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Only Standard_Admin in the product team</w:t>
            </w:r>
          </w:p>
        </w:tc>
      </w:tr>
      <w:tr>
        <w:tc>
          <w:tcPr>
            <w:tcW w:type="dxa" w:w="25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PGP, SSH keys and certificates</w:t>
            </w:r>
          </w:p>
        </w:tc>
        <w:tc>
          <w:tcPr>
            <w:tcW w:type="dxa" w:w="160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81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2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Proposed: Standard_Admin only (D-RA-02)</w:t>
            </w:r>
          </w:p>
        </w:tc>
      </w:tr>
      <w:tr>
        <w:tc>
          <w:tcPr>
            <w:tcW w:type="dxa" w:w="25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MFT runtimes</w:t>
            </w:r>
          </w:p>
        </w:tc>
        <w:tc>
          <w:tcPr>
            <w:tcW w:type="dxa" w:w="160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81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2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Proposed: iPaaS team only (D-RA-01)</w:t>
            </w:r>
          </w:p>
        </w:tc>
      </w:tr>
      <w:tr>
        <w:tc>
          <w:tcPr>
            <w:tcW w:type="dxa" w:w="25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Create flows (using organization endpoints and properties)</w:t>
            </w:r>
          </w:p>
        </w:tc>
        <w:tc>
          <w:tcPr>
            <w:tcW w:type="dxa" w:w="160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81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2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
            </w:r>
          </w:p>
        </w:tc>
      </w:tr>
      <w:tr>
        <w:tc>
          <w:tcPr>
            <w:tcW w:type="dxa" w:w="25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Alerts</w:t>
            </w:r>
          </w:p>
        </w:tc>
        <w:tc>
          <w:tcPr>
            <w:tcW w:type="dxa" w:w="160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81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2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
            </w:r>
          </w:p>
        </w:tc>
      </w:tr>
      <w:tr>
        <w:tc>
          <w:tcPr>
            <w:tcW w:type="dxa" w:w="25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activity</w:t>
            </w:r>
          </w:p>
        </w:tc>
        <w:tc>
          <w:tcPr>
            <w:tcW w:type="dxa" w:w="160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81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2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
            </w:r>
          </w:p>
        </w:tc>
      </w:tr>
      <w:tr>
        <w:tc>
          <w:tcPr>
            <w:tcW w:type="dxa" w:w="252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View other organizations</w:t>
            </w:r>
          </w:p>
        </w:tc>
        <w:tc>
          <w:tcPr>
            <w:tcW w:type="dxa" w:w="160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 request</w:t>
            </w:r>
          </w:p>
        </w:tc>
        <w:tc>
          <w:tcPr>
            <w:tcW w:type="dxa" w:w="181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On request</w:t>
            </w:r>
          </w:p>
        </w:tc>
        <w:tc>
          <w:tcPr>
            <w:tcW w:type="dxa" w:w="108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Yes</w:t>
            </w:r>
          </w:p>
        </w:tc>
        <w:tc>
          <w:tcPr>
            <w:tcW w:type="dxa" w:w="261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Granted by the iPaaS team on a need basis (D-RA-04)</w:t>
            </w:r>
          </w:p>
        </w:tc>
      </w:tr>
    </w:tbl>
    <w:p>
      <w:pPr>
        <w:spacing w:after="60"/>
      </w:pPr>
    </w:p>
    <w:p>
      <w:pPr>
        <w:pStyle w:val="Heading2"/>
      </w:pPr>
      <w:r>
        <w:t xml:space="preserve">7.6 Access by environment (proposed)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7"/>
        <w:gridCol w:w="765"/>
        <w:gridCol w:w="1473"/>
        <w:gridCol w:w="1151"/>
        <w:gridCol w:w="3042"/>
      </w:tblGrid>
      <w:tr>
        <w:trPr>
          <w:tblHeader/>
        </w:trPr>
        <w:tc>
          <w:tcPr>
            <w:tcW w:type="dxa" w:w="320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Role</w:t>
            </w:r>
          </w:p>
        </w:tc>
        <w:tc>
          <w:tcPr>
            <w:tcW w:type="dxa" w:w="76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dev</w:t>
            </w:r>
          </w:p>
        </w:tc>
        <w:tc>
          <w:tcPr>
            <w:tcW w:type="dxa" w:w="147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test</w:t>
            </w:r>
          </w:p>
        </w:tc>
        <w:tc>
          <w:tcPr>
            <w:tcW w:type="dxa" w:w="115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pre-prod</w:t>
            </w:r>
          </w:p>
        </w:tc>
        <w:tc>
          <w:tcPr>
            <w:tcW w:type="dxa" w:w="304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prod</w:t>
            </w:r>
          </w:p>
        </w:tc>
      </w:tr>
      <w:tr>
        <w:tc>
          <w:tcPr>
            <w:tcW w:type="dxa" w:w="320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Standard_User (developer)</w:t>
            </w:r>
          </w:p>
        </w:tc>
        <w:tc>
          <w:tcPr>
            <w:tcW w:type="dxa" w:w="7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Build</w:t>
            </w:r>
          </w:p>
        </w:tc>
        <w:tc>
          <w:tcPr>
            <w:tcW w:type="dxa" w:w="147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View; run tests</w:t>
            </w:r>
          </w:p>
        </w:tc>
        <w:tc>
          <w:tcPr>
            <w:tcW w:type="dxa" w:w="11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View</w:t>
            </w:r>
          </w:p>
        </w:tc>
        <w:tc>
          <w:tcPr>
            <w:tcW w:type="dxa" w:w="30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View alerts and file activity</w:t>
            </w:r>
          </w:p>
        </w:tc>
      </w:tr>
      <w:tr>
        <w:tc>
          <w:tcPr>
            <w:tcW w:type="dxa" w:w="320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Standard_Admin (administrator)</w:t>
            </w:r>
          </w:p>
        </w:tc>
        <w:tc>
          <w:tcPr>
            <w:tcW w:type="dxa" w:w="7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Build</w:t>
            </w:r>
          </w:p>
        </w:tc>
        <w:tc>
          <w:tcPr>
            <w:tcW w:type="dxa" w:w="147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Set endpoint values for test</w:t>
            </w:r>
          </w:p>
        </w:tc>
        <w:tc>
          <w:tcPr>
            <w:tcW w:type="dxa" w:w="11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Set endpoint values, by change</w:t>
            </w:r>
          </w:p>
        </w:tc>
        <w:tc>
          <w:tcPr>
            <w:tcW w:type="dxa" w:w="30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Set endpoint values, by change; view</w:t>
            </w:r>
          </w:p>
        </w:tc>
      </w:tr>
      <w:tr>
        <w:tc>
          <w:tcPr>
            <w:tcW w:type="dxa" w:w="320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iPaaS platform admin</w:t>
            </w:r>
          </w:p>
        </w:tc>
        <w:tc>
          <w:tcPr>
            <w:tcW w:type="dxa" w:w="7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Full</w:t>
            </w:r>
          </w:p>
        </w:tc>
        <w:tc>
          <w:tcPr>
            <w:tcW w:type="dxa" w:w="147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Full</w:t>
            </w:r>
          </w:p>
        </w:tc>
        <w:tc>
          <w:tcPr>
            <w:tcW w:type="dxa" w:w="115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Full</w:t>
            </w:r>
          </w:p>
        </w:tc>
        <w:tc>
          <w:tcPr>
            <w:tcW w:type="dxa" w:w="30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Full, under change control</w:t>
            </w:r>
          </w:p>
        </w:tc>
      </w:tr>
    </w:tbl>
    <w:p>
      <w:pPr>
        <w:spacing w:after="60"/>
      </w:pPr>
    </w:p>
    <w:p>
      <w:pPr>
        <w:spacing w:after="120"/>
      </w:pPr>
      <w:r>
        <w:t xml:space="preserve">From test onwards, flows and endpoints arrive by promotion, not by hand. Only environment-specific values, such as hosts and credentials, are set in each environment (D-RA-03).</w:t>
      </w:r>
    </w:p>
    <w:p>
      <w:pPr>
        <w:pStyle w:val="Heading2"/>
      </w:pPr>
      <w:r>
        <w:t xml:space="preserve">7.7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6820"/>
        <w:gridCol w:w="1843"/>
      </w:tblGrid>
      <w:tr>
        <w:trPr>
          <w:tblHeader/>
        </w:trPr>
        <w:tc>
          <w:tcPr>
            <w:tcW w:type="dxa" w:w="97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682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Decision required</w:t>
            </w:r>
          </w:p>
        </w:tc>
        <w:tc>
          <w:tcPr>
            <w:tcW w:type="dxa" w:w="1843"/>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Proposed owner role</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D-RA-01</w:t>
            </w:r>
          </w:p>
        </w:tc>
        <w:tc>
          <w:tcPr>
            <w:tcW w:type="dxa" w:w="68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runtimes: the role note lets both product roles create them. A runtime needs a server, network placement and firewall rules in the internal estate. Proposal: only the iPaaS team creates and registers runtimes, and product teams select an existing runtime on their endpoints.</w:t>
            </w:r>
          </w:p>
        </w:tc>
        <w:tc>
          <w:tcPr>
            <w:tcW w:type="dxa" w:w="18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D-RA-02</w:t>
            </w:r>
          </w:p>
        </w:tc>
        <w:tc>
          <w:tcPr>
            <w:tcW w:type="dxa" w:w="68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Keys and certificates: the role note lets Standard_User create them. Proposal: Standard_Admin only, under the key management process, with the creation date in the name for rotation (G-14).</w:t>
            </w:r>
          </w:p>
        </w:tc>
        <w:tc>
          <w:tcPr>
            <w:tcW w:type="dxa" w:w="18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D-RA-03</w:t>
            </w:r>
          </w:p>
        </w:tc>
        <w:tc>
          <w:tcPr>
            <w:tcW w:type="dxa" w:w="68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Access by environment as in section 7.6</w:t>
            </w:r>
          </w:p>
        </w:tc>
        <w:tc>
          <w:tcPr>
            <w:tcW w:type="dxa" w:w="18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Owner with Boomi Platform Owner</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D-RA-04</w:t>
            </w:r>
          </w:p>
        </w:tc>
        <w:tc>
          <w:tcPr>
            <w:tcW w:type="dxa" w:w="68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Cross-organization access on a need basis: request, approval, time limit and review</w:t>
            </w:r>
          </w:p>
        </w:tc>
        <w:tc>
          <w:tcPr>
            <w:tcW w:type="dxa" w:w="18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D-RA-05</w:t>
            </w:r>
          </w:p>
        </w:tc>
        <w:tc>
          <w:tcPr>
            <w:tcW w:type="dxa" w:w="68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Confirm that standard Boomi roles or custom permissions can limit a user to one organization inside an instance, as Approach B assumes</w:t>
            </w:r>
          </w:p>
        </w:tc>
        <w:tc>
          <w:tcPr>
            <w:tcW w:type="dxa" w:w="18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 with Boomi</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D-RA-06</w:t>
            </w:r>
          </w:p>
        </w:tc>
        <w:tc>
          <w:tcPr>
            <w:tcW w:type="dxa" w:w="68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Joiners, movers and leavers, sign-in through corporate SSO, and quarterly access review for each organization</w:t>
            </w:r>
          </w:p>
        </w:tc>
        <w:tc>
          <w:tcPr>
            <w:tcW w:type="dxa" w:w="18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Service Owner</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D-RA-07</w:t>
            </w:r>
          </w:p>
        </w:tc>
        <w:tc>
          <w:tcPr>
            <w:tcW w:type="dxa" w:w="682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When an API-triggered flow (mechanism 2) is justified over a schedule</w:t>
            </w:r>
          </w:p>
        </w:tc>
        <w:tc>
          <w:tcPr>
            <w:tcW w:type="dxa" w:w="1843"/>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w:t>
            </w:r>
          </w:p>
        </w:tc>
      </w:tr>
    </w:tbl>
    <w:p>
      <w:pPr>
        <w:spacing w:after="60"/>
      </w:pPr>
    </w:p>
    <w:p>
      <w:pPr>
        <w:pStyle w:val="Heading1"/>
      </w:pPr>
      <w:r>
        <w:t xml:space="preserve">8. Naming conventions (proposed)</w:t>
      </w:r>
    </w:p>
    <w:p>
      <w:pPr>
        <w:pStyle w:val="Heading2"/>
      </w:pPr>
      <w:r>
        <w:t xml:space="preserve">8.1 Rules</w:t>
      </w:r>
    </w:p>
    <w:p>
      <w:pPr>
        <w:pStyle w:val="ListParagraph"/>
        <w:numPr>
          <w:ilvl w:val="0"/>
          <w:numId w:val="2"/>
        </w:numPr>
      </w:pPr>
      <w:r>
        <w:t xml:space="preserve">Names are the same in every environment. The environment comes from the site, so promoted configuration needs no renaming. Only MFT Nodes, hosts and access groups carry an environment code.</w:t>
      </w:r>
    </w:p>
    <w:p>
      <w:pPr>
        <w:pStyle w:val="ListParagraph"/>
        <w:numPr>
          <w:ilvl w:val="0"/>
          <w:numId w:val="2"/>
        </w:numPr>
      </w:pPr>
      <w:r>
        <w:t xml:space="preserve">Segments go in a fixed order, separated by hyphens. Codes are upper case; the purpose segment is PascalCase. Directory paths, Node names and machine users are lower case.</w:t>
      </w:r>
    </w:p>
    <w:p>
      <w:pPr>
        <w:pStyle w:val="ListParagraph"/>
        <w:numPr>
          <w:ilvl w:val="0"/>
          <w:numId w:val="2"/>
        </w:numPr>
      </w:pPr>
      <w:r>
        <w:t xml:space="preserve">Letters, digits and hyphens only, with no spaces. Keep names under 64 characters; confirm Boomi field limits (D-NC-02).</w:t>
      </w:r>
    </w:p>
    <w:p>
      <w:pPr>
        <w:pStyle w:val="ListParagraph"/>
        <w:numPr>
          <w:ilvl w:val="0"/>
          <w:numId w:val="2"/>
        </w:numPr>
      </w:pPr>
      <w:r>
        <w:t xml:space="preserve">No personal names in object names. Use team, system or partner names.</w:t>
      </w:r>
    </w:p>
    <w:p>
      <w:pPr>
        <w:pStyle w:val="ListParagraph"/>
        <w:numPr>
          <w:ilvl w:val="0"/>
          <w:numId w:val="2"/>
        </w:numPr>
      </w:pPr>
      <w:r>
        <w:t xml:space="preserve">Existing objects keep their names. The convention applies to new objects.</w:t>
      </w:r>
    </w:p>
    <w:p>
      <w:pPr>
        <w:pStyle w:val="Heading2"/>
      </w:pPr>
      <w:r>
        <w:t xml:space="preserve">8.2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Code set</w:t>
            </w:r>
          </w:p>
        </w:tc>
        <w:tc>
          <w:tcPr>
            <w:tcW w:type="dxa" w:w="813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Values</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Environment</w:t>
            </w:r>
          </w:p>
        </w:tc>
        <w:tc>
          <w:tcPr>
            <w:tcW w:type="dxa" w:w="81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DEV, TST, PPD, PRD</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Instance</w:t>
            </w:r>
          </w:p>
        </w:tc>
        <w:tc>
          <w:tcPr>
            <w:tcW w:type="dxa" w:w="81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 (Tax), BDT (Borders and Trade), VOA (Valuation Office)</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Organization type</w:t>
            </w:r>
          </w:p>
        </w:tc>
        <w:tc>
          <w:tcPr>
            <w:tcW w:type="dxa" w:w="81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PRJ (product or project team), PTN (external partner), SYS (internal system that owns a landing area), PLT (iPaaS platform)</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Pattern</w:t>
            </w:r>
          </w:p>
        </w:tc>
        <w:tc>
          <w:tcPr>
            <w:tcW w:type="dxa" w:w="81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I2I (internal to internal), I2E (internal to external), E2I (external to internal), E2E (external to external)</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 type</w:t>
            </w:r>
          </w:p>
        </w:tc>
        <w:tc>
          <w:tcPr>
            <w:tcW w:type="dxa" w:w="81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SFTP, FTPS, HTTPS, S3, BLOB (Azure Blob), AZF (Azure Files), GCS, SPO (SharePoint), FSH (File Share via MFT Node), CON (MFT Connector), FS (File Sharing)</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 endpoint role</w:t>
            </w:r>
          </w:p>
        </w:tc>
        <w:tc>
          <w:tcPr>
            <w:tcW w:type="dxa" w:w="81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SRC (source), TGT (target)</w:t>
            </w:r>
          </w:p>
        </w:tc>
      </w:tr>
      <w:tr>
        <w:tc>
          <w:tcPr>
            <w:tcW w:type="dxa" w:w="150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Key type</w:t>
            </w:r>
          </w:p>
        </w:tc>
        <w:tc>
          <w:tcPr>
            <w:tcW w:type="dxa" w:w="813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PGP, SSH, TLS</w:t>
            </w:r>
          </w:p>
        </w:tc>
      </w:tr>
    </w:tbl>
    <w:p>
      <w:pPr>
        <w:spacing w:after="60"/>
      </w:pPr>
    </w:p>
    <w:p>
      <w:pPr>
        <w:pStyle w:val="Heading2"/>
      </w:pPr>
      <w:r>
        <w:t xml:space="preserve">8.3 Object 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8"/>
        <w:gridCol w:w="5265"/>
        <w:gridCol w:w="3185"/>
      </w:tblGrid>
      <w:tr>
        <w:trPr>
          <w:tblHeader/>
        </w:trPr>
        <w:tc>
          <w:tcPr>
            <w:tcW w:type="dxa" w:w="118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Object</w:t>
            </w:r>
          </w:p>
        </w:tc>
        <w:tc>
          <w:tcPr>
            <w:tcW w:type="dxa" w:w="526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Pattern</w:t>
            </w:r>
          </w:p>
        </w:tc>
        <w:tc>
          <w:tcPr>
            <w:tcW w:type="dxa" w:w="318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Example</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Site base URL</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mft-{env}.&lt;domain&gt;; prod is mft.&lt;domain&gt;</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mft-dev.&lt;domain&gt;</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Instance</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Business area name</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Organization</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{INST}-{ORGTYPE}-{Name}</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TAX-PRJ-SDEC; TAX-PTN-ONS</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Organization endpoint</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{ORG}-{TYPE}-{System}</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TAX-PRJ-SDEC-S3-Staging</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{INST}-{PATTERN}-{Source}-{Target}-{Purpose}</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TAX-I2E-ADR-ONS-MigrantWorkersScan</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 endpoint</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{Organization endpoint}-{SRC|TGT}</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TAX-PRJ-SDEC-S3-Staging-TGT</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Directory path</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/{inst}/{org}/{purpose}/{in|out|archive|error}</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/tax/prj-sdec/evidence-upload/in</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File name (new interfaces)</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{Source}_{Target}_{FileType}_{YYYYMMDDThhmmssZ}[_{seq}].{ext}</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NPS_ADR_MWS_20261022T020000Z_001.csv</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Node</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{env}-{inst}-node-{zone}-{nn}</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prd-tax-node-az1-01</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Machine user</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svc-{inst}-{org}-{purpose}</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svc-tax-sdec-api-trigger</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Human user</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Corporate SSO identity; no shared accounts</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Corporate email address</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Access group</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MFT-{ENV}-{ORG}-{ADMIN|DEV}</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MFT-PRD-TAX-PRJ-SDEC-ADMIN</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Key or certificate</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{ORG}-{KEYTYPE}-{Purpose}-{YYYYMM}</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TAX-PTN-ONS-PGP-Public-202610</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Alert recipient list</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mft-{inst}-{org}-alerts@&lt;domain&gt;</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mft-tax-sdec-alerts@&lt;domain&gt;</w:t>
            </w:r>
          </w:p>
        </w:tc>
      </w:tr>
      <w:tr>
        <w:tc>
          <w:tcPr>
            <w:tcW w:type="dxa" w:w="118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Endpoint tags (when available)</w:t>
            </w:r>
          </w:p>
        </w:tc>
        <w:tc>
          <w:tcPr>
            <w:tcW w:type="dxa" w:w="526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dataclass, owner, pattern, catalogue-id</w:t>
            </w:r>
          </w:p>
        </w:tc>
        <w:tc>
          <w:tcPr>
            <w:tcW w:type="dxa" w:w="318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dataclass=official; pattern=I2E</w:t>
            </w:r>
          </w:p>
        </w:tc>
      </w:tr>
    </w:tbl>
    <w:p>
      <w:pPr>
        <w:spacing w:after="60"/>
      </w:pPr>
    </w:p>
    <w:p>
      <w:pPr>
        <w:pBdr>
          <w:left w:val="single" w:color="7A5A00" w:sz="24" w:space="6"/>
        </w:pBdr>
        <w:shd w:fill="FDF3D6" w:color="auto" w:val="clear"/>
        <w:spacing w:after="160" w:before="80"/>
      </w:pPr>
      <w:r>
        <w:rPr>
          <w:sz w:val="20"/>
          <w:szCs w:val="20"/>
        </w:rPr>
        <w:t xml:space="preserve">The access group pattern maps to the two role types: the ADMIN group is assigned Standard_Admin and the DEV group Standard_User on that organization.</w:t>
      </w:r>
    </w:p>
    <w:p>
      <w:pPr>
        <w:pStyle w:val="Heading2"/>
      </w:pPr>
      <w:r>
        <w:t xml:space="preserve">8.4 Worked example (illustrative)</w:t>
      </w:r>
    </w:p>
    <w:p>
      <w:pPr>
        <w:spacing w:after="120"/>
      </w:pPr>
      <w:r>
        <w:t xml:space="preserve">MVP pattern P3, external to internal, named as if it sat in the Tax instance in dev.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2"/>
        <w:gridCol w:w="7696"/>
      </w:tblGrid>
      <w:tr>
        <w:trPr>
          <w:tblHeader/>
        </w:trPr>
        <w:tc>
          <w:tcPr>
            <w:tcW w:type="dxa" w:w="1942"/>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Item</w:t>
            </w:r>
          </w:p>
        </w:tc>
        <w:tc>
          <w:tcPr>
            <w:tcW w:type="dxa" w:w="7696"/>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Name</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Partner organization</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TAX-PTN-PEGA</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Partner endpoint</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TAX-PTN-PEGA-SFTP-LZ1</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Product team organization</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TAX-PRJ-MFTMVP</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Internal endpoint</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TAX-PRJ-MFTMVP-S3-Bucket1</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TAX-E2I-PEGALZ1-Bucket1-MvpPattern3</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Flow endpoints</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TAX-PTN-PEGA-SFTP-LZ1-SRC; TAX-PRJ-MFTMVP-S3-Bucket1-TGT</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Target path</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/tax/prj-mftmvp/pattern3/in</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 Node</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dev-tax-node-az1-01</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Machine user</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svc-tax-mftmvp-api-trigger</w:t>
            </w:r>
          </w:p>
        </w:tc>
      </w:tr>
      <w:tr>
        <w:tc>
          <w:tcPr>
            <w:tcW w:type="dxa" w:w="1942"/>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Access groups</w:t>
            </w:r>
          </w:p>
        </w:tc>
        <w:tc>
          <w:tcPr>
            <w:tcW w:type="dxa" w:w="7696"/>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MFT-DEV-TAX-PRJ-MFTMVP-ADMIN; MFT-DEV-TAX-PRJ-MFTMVP-DEV</w:t>
            </w:r>
          </w:p>
        </w:tc>
      </w:tr>
    </w:tbl>
    <w:p>
      <w:pPr>
        <w:spacing w:after="60"/>
      </w:pPr>
    </w:p>
    <w:p>
      <w:pPr>
        <w:pStyle w:val="Heading2"/>
      </w:pPr>
      <w:r>
        <w:t xml:space="preserve">8.5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5"/>
        <w:gridCol w:w="5708"/>
        <w:gridCol w:w="2955"/>
      </w:tblGrid>
      <w:tr>
        <w:trPr>
          <w:tblHeader/>
        </w:trPr>
        <w:tc>
          <w:tcPr>
            <w:tcW w:type="dxa" w:w="97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5708"/>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Decision required</w:t>
            </w:r>
          </w:p>
        </w:tc>
        <w:tc>
          <w:tcPr>
            <w:tcW w:type="dxa" w:w="295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Proposed owner role</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D-NC-01</w:t>
            </w:r>
          </w:p>
        </w:tc>
        <w:tc>
          <w:tcPr>
            <w:tcW w:type="dxa" w:w="570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Agree the naming convention and the instance and organization type codes</w:t>
            </w:r>
          </w:p>
        </w:tc>
        <w:tc>
          <w:tcPr>
            <w:tcW w:type="dxa" w:w="29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Integration Architect with Boomi Platform Owner</w:t>
            </w:r>
          </w:p>
        </w:tc>
      </w:tr>
      <w:tr>
        <w:tc>
          <w:tcPr>
            <w:tcW w:type="dxa" w:w="9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D-NC-02</w:t>
            </w:r>
          </w:p>
        </w:tc>
        <w:tc>
          <w:tcPr>
            <w:tcW w:type="dxa" w:w="5708"/>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Confirm Boomi field length and character limits for each object type</w:t>
            </w:r>
          </w:p>
        </w:tc>
        <w:tc>
          <w:tcPr>
            <w:tcW w:type="dxa" w:w="295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bl>
    <w:p>
      <w:pPr>
        <w:spacing w:after="60"/>
      </w:pPr>
    </w:p>
    <w:p>
      <w:pPr>
        <w:pStyle w:val="Heading1"/>
      </w:pPr>
      <w:r>
        <w:t xml:space="preserve">9. Gaps and security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2775"/>
        <w:gridCol w:w="2645"/>
        <w:gridCol w:w="2171"/>
        <w:gridCol w:w="1387"/>
      </w:tblGrid>
      <w:tr>
        <w:trPr>
          <w:tblHeader/>
        </w:trPr>
        <w:tc>
          <w:tcPr>
            <w:tcW w:type="dxa" w:w="660"/>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ID</w:t>
            </w:r>
          </w:p>
        </w:tc>
        <w:tc>
          <w:tcPr>
            <w:tcW w:type="dxa" w:w="277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Gap</w:t>
            </w:r>
          </w:p>
        </w:tc>
        <w:tc>
          <w:tcPr>
            <w:tcW w:type="dxa" w:w="2645"/>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Impact</w:t>
            </w:r>
          </w:p>
        </w:tc>
        <w:tc>
          <w:tcPr>
            <w:tcW w:type="dxa" w:w="2171"/>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Treatment</w:t>
            </w:r>
          </w:p>
        </w:tc>
        <w:tc>
          <w:tcPr>
            <w:tcW w:type="dxa" w:w="1387"/>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Owner role</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G-13</w:t>
            </w:r>
          </w:p>
        </w:tc>
        <w:tc>
          <w:tcPr>
            <w:tcW w:type="dxa" w:w="27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native CI/CD pipeline for MFT configuration</w:t>
            </w:r>
          </w:p>
        </w:tc>
        <w:tc>
          <w:tcPr>
            <w:tcW w:type="dxa" w:w="26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Configuration rows are data, outside standard build and rollback</w:t>
            </w:r>
          </w:p>
        </w:tc>
        <w:tc>
          <w:tcPr>
            <w:tcW w:type="dxa" w:w="21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Agree the promotion mechanism and evidence rollback (D-MVP-06)</w:t>
            </w:r>
          </w:p>
        </w:tc>
        <w:tc>
          <w:tcPr>
            <w:tcW w:type="dxa" w:w="138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G-14</w:t>
            </w:r>
          </w:p>
        </w:tc>
        <w:tc>
          <w:tcPr>
            <w:tcW w:type="dxa" w:w="27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documented native route to source MFT credentials from enterprise PAM (CyberArk)</w:t>
            </w:r>
          </w:p>
        </w:tc>
        <w:tc>
          <w:tcPr>
            <w:tcW w:type="dxa" w:w="26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Manual credential handling</w:t>
            </w:r>
          </w:p>
        </w:tc>
        <w:tc>
          <w:tcPr>
            <w:tcW w:type="dxa" w:w="21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Interim controlled process with audit (D-MVP-04)</w:t>
            </w:r>
          </w:p>
        </w:tc>
        <w:tc>
          <w:tcPr>
            <w:tcW w:type="dxa" w:w="138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G-15</w:t>
            </w:r>
          </w:p>
        </w:tc>
        <w:tc>
          <w:tcPr>
            <w:tcW w:type="dxa" w:w="27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AV scan limit about 250 MB via Windows MDE</w:t>
            </w:r>
          </w:p>
        </w:tc>
        <w:tc>
          <w:tcPr>
            <w:tcW w:type="dxa" w:w="26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Large files cannot be scanned on the current route</w:t>
            </w:r>
          </w:p>
        </w:tc>
        <w:tc>
          <w:tcPr>
            <w:tcW w:type="dxa" w:w="21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Large-file design or a size cap; fail closed</w:t>
            </w:r>
          </w:p>
        </w:tc>
        <w:tc>
          <w:tcPr>
            <w:tcW w:type="dxa" w:w="138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Boomi Platform Owner</w:t>
            </w:r>
          </w:p>
        </w:tc>
      </w:tr>
      <w:tr>
        <w:tc>
          <w:tcPr>
            <w:tcW w:type="dxa" w:w="660"/>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FS gap</w:t>
            </w:r>
          </w:p>
        </w:tc>
        <w:tc>
          <w:tcPr>
            <w:tcW w:type="dxa" w:w="277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No native DLP on the FS citizen channel</w:t>
            </w:r>
          </w:p>
        </w:tc>
        <w:tc>
          <w:tcPr>
            <w:tcW w:type="dxa" w:w="2645"/>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Sensitive content could be shared without inspection</w:t>
            </w:r>
          </w:p>
        </w:tc>
        <w:tc>
          <w:tcPr>
            <w:tcW w:type="dxa" w:w="2171"/>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Decision D-FS-04</w:t>
            </w:r>
          </w:p>
        </w:tc>
        <w:tc>
          <w:tcPr>
            <w:tcW w:type="dxa" w:w="1387"/>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Security Architect</w:t>
            </w:r>
          </w:p>
        </w:tc>
      </w:tr>
    </w:tbl>
    <w:p>
      <w:pPr>
        <w:spacing w:after="60"/>
      </w:pPr>
    </w:p>
    <w:p>
      <w:pPr>
        <w:pStyle w:val="Heading2"/>
      </w:pPr>
      <w:r>
        <w:t xml:space="preserve">9.1 Security baseline for every transfer</w:t>
      </w:r>
    </w:p>
    <w:p>
      <w:pPr>
        <w:pStyle w:val="ListParagraph"/>
        <w:numPr>
          <w:ilvl w:val="0"/>
          <w:numId w:val="2"/>
        </w:numPr>
      </w:pPr>
      <w:r>
        <w:t xml:space="preserve">TLS 1.2 minimum (1.3 preferred) on every leg; no plaintext FTP.</w:t>
      </w:r>
    </w:p>
    <w:p>
      <w:pPr>
        <w:pStyle w:val="ListParagraph"/>
        <w:numPr>
          <w:ilvl w:val="0"/>
          <w:numId w:val="2"/>
        </w:numPr>
      </w:pPr>
      <w:r>
        <w:t xml:space="preserve">Credentials held outside configuration where the platform allows, with the G-14 interim control recorded where it does not.</w:t>
      </w:r>
    </w:p>
    <w:p>
      <w:pPr>
        <w:pStyle w:val="ListParagraph"/>
        <w:numPr>
          <w:ilvl w:val="0"/>
          <w:numId w:val="2"/>
        </w:numPr>
      </w:pPr>
      <w:r>
        <w:t xml:space="preserve">Least-privilege IAM roles and KMS keys on S3 locations used by the Node; encryption at rest throughout.</w:t>
      </w:r>
    </w:p>
    <w:p>
      <w:pPr>
        <w:pStyle w:val="ListParagraph"/>
        <w:numPr>
          <w:ilvl w:val="0"/>
          <w:numId w:val="2"/>
        </w:numPr>
      </w:pPr>
      <w:r>
        <w:t xml:space="preserve">AV scan before any inbound file lands internally. A scanner fault fails closed and the file is not delivered.</w:t>
      </w:r>
    </w:p>
    <w:p>
      <w:pPr>
        <w:pStyle w:val="ListParagraph"/>
        <w:numPr>
          <w:ilvl w:val="0"/>
          <w:numId w:val="2"/>
        </w:numPr>
      </w:pPr>
      <w:r>
        <w:t xml:space="preserve">An audit record per transfer: source, target, file name, size, SHA-256, start and end time, outcome and correlation ID.</w:t>
      </w:r>
    </w:p>
    <w:p>
      <w:pPr>
        <w:pStyle w:val="Heading1"/>
      </w:pPr>
      <w:r>
        <w:t xml:space="preserve">10. Design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4"/>
        <w:gridCol w:w="7324"/>
      </w:tblGrid>
      <w:tr>
        <w:trPr>
          <w:tblHeader/>
        </w:trPr>
        <w:tc>
          <w:tcPr>
            <w:tcW w:type="dxa" w:w="231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Principle</w:t>
            </w:r>
          </w:p>
        </w:tc>
        <w:tc>
          <w:tcPr>
            <w:tcW w:type="dxa" w:w="7324"/>
            <w:tcBorders>
              <w:top w:val="single" w:color="C5CCD3" w:sz="4"/>
              <w:left w:val="single" w:color="C5CCD3" w:sz="4"/>
              <w:bottom w:val="single" w:color="C5CCD3" w:sz="4"/>
              <w:right w:val="single" w:color="C5CCD3" w:sz="4"/>
            </w:tcBorders>
            <w:shd w:fill="E8F0FA" w:color="auto" w:val="clear"/>
            <w:tcMar>
              <w:top w:type="dxa" w:w="60"/>
              <w:left w:type="dxa" w:w="100"/>
              <w:bottom w:type="dxa" w:w="60"/>
              <w:right w:type="dxa" w:w="100"/>
            </w:tcMar>
          </w:tcPr>
          <w:p>
            <w:r>
              <w:rPr>
                <w:b/>
                <w:bCs/>
                <w:sz w:val="19"/>
                <w:szCs w:val="19"/>
              </w:rPr>
              <w:t xml:space="preserve">What it means for MFT</w:t>
            </w:r>
          </w:p>
        </w:tc>
      </w:tr>
      <w:tr>
        <w:tc>
          <w:tcPr>
            <w:tcW w:type="dxa" w:w="23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Config over construction</w:t>
            </w:r>
          </w:p>
        </w:tc>
        <w:tc>
          <w:tcPr>
            <w:tcW w:type="dxa" w:w="73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 new transfer is a configuration row on a generic Flow, never a new component per interface.</w:t>
            </w:r>
          </w:p>
        </w:tc>
      </w:tr>
      <w:tr>
        <w:tc>
          <w:tcPr>
            <w:tcW w:type="dxa" w:w="23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Prove it before you promise it</w:t>
            </w:r>
          </w:p>
        </w:tc>
        <w:tc>
          <w:tcPr>
            <w:tcW w:type="dxa" w:w="73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Capabilities and dates are committed only after proving work, with decisions owned by named roles.</w:t>
            </w:r>
          </w:p>
        </w:tc>
      </w:tr>
      <w:tr>
        <w:tc>
          <w:tcPr>
            <w:tcW w:type="dxa" w:w="23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Visibility as a feature</w:t>
            </w:r>
          </w:p>
        </w:tc>
        <w:tc>
          <w:tcPr>
            <w:tcW w:type="dxa" w:w="73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Activity, alerting and audit are requirements, not extras.</w:t>
            </w:r>
          </w:p>
        </w:tc>
      </w:tr>
      <w:tr>
        <w:tc>
          <w:tcPr>
            <w:tcW w:type="dxa" w:w="231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Surface tensions</w:t>
            </w:r>
          </w:p>
        </w:tc>
        <w:tc>
          <w:tcPr>
            <w:tcW w:type="dxa" w:w="7324"/>
            <w:tcBorders>
              <w:top w:val="single" w:color="C5CCD3" w:sz="4"/>
              <w:left w:val="single" w:color="C5CCD3" w:sz="4"/>
              <w:bottom w:val="single" w:color="C5CCD3" w:sz="4"/>
              <w:right w:val="single" w:color="C5CCD3" w:sz="4"/>
            </w:tcBorders>
            <w:tcMar>
              <w:top w:type="dxa" w:w="60"/>
              <w:left w:type="dxa" w:w="100"/>
              <w:bottom w:type="dxa" w:w="60"/>
              <w:right w:type="dxa" w:w="100"/>
            </w:tcMar>
          </w:tcPr>
          <w:p>
            <w:r>
              <w:rPr>
                <w:b w:val="false"/>
                <w:bCs w:val="false"/>
                <w:sz w:val="19"/>
                <w:szCs w:val="19"/>
              </w:rPr>
              <w:t xml:space="preserve">Overlaps with the incumbent estate and other programmes are logged as decisions with owners, not resolved silently.</w:t>
            </w:r>
          </w:p>
        </w:tc>
      </w:tr>
    </w:tbl>
    <w:p>
      <w:pPr>
        <w:spacing w:after="60"/>
      </w:pPr>
    </w:p>
    <w:p>
      <w:pPr>
        <w:pStyle w:val="Heading1"/>
      </w:pPr>
      <w:r>
        <w:t xml:space="preserve">11. References</w:t>
      </w:r>
    </w:p>
    <w:p>
      <w:pPr>
        <w:pStyle w:val="ListParagraph"/>
        <w:numPr>
          <w:ilvl w:val="0"/>
          <w:numId w:val="2"/>
        </w:numPr>
      </w:pPr>
      <w:hyperlink w:history="1" r:id="rId2kk48bk62s4ku4btrc7fo">
        <w:r>
          <w:rPr>
            <w:rStyle w:val="Hyperlink"/>
          </w:rPr>
          <w:t xml:space="preserve">Boomi MFT overview</w:t>
        </w:r>
      </w:hyperlink>
      <w:r>
        <w:rPr>
          <w:color w:val="52606D"/>
          <w:sz w:val="18"/>
          <w:szCs w:val="18"/>
        </w:rPr>
        <w:t xml:space="preserve">: https://help.boomi.com/docs/Atomsphere/Integration/MFT/boomi_mft</w:t>
      </w:r>
    </w:p>
    <w:p>
      <w:pPr>
        <w:pStyle w:val="ListParagraph"/>
        <w:numPr>
          <w:ilvl w:val="0"/>
          <w:numId w:val="2"/>
        </w:numPr>
      </w:pPr>
      <w:hyperlink w:history="1" r:id="rId0ckji80vcltomtfzdlaf5">
        <w:r>
          <w:rPr>
            <w:rStyle w:val="Hyperlink"/>
          </w:rPr>
          <w:t xml:space="preserve">Automated File Transfer</w:t>
        </w:r>
      </w:hyperlink>
      <w:r>
        <w:rPr>
          <w:color w:val="52606D"/>
          <w:sz w:val="18"/>
          <w:szCs w:val="18"/>
        </w:rPr>
        <w:t xml:space="preserve">: https://help.boomi.com/docs/Atomsphere/Integration/MFT/AutomatedFileTransfer/aft</w:t>
      </w:r>
    </w:p>
    <w:p>
      <w:pPr>
        <w:pStyle w:val="ListParagraph"/>
        <w:numPr>
          <w:ilvl w:val="0"/>
          <w:numId w:val="2"/>
        </w:numPr>
      </w:pPr>
      <w:hyperlink w:history="1" r:id="rIde-tk_e2uorzqgosxlropy">
        <w:r>
          <w:rPr>
            <w:rStyle w:val="Hyperlink"/>
          </w:rPr>
          <w:t xml:space="preserve">AFT endpoint types</w:t>
        </w:r>
      </w:hyperlink>
      <w:r>
        <w:rPr>
          <w:color w:val="52606D"/>
          <w:sz w:val="18"/>
          <w:szCs w:val="18"/>
        </w:rPr>
        <w:t xml:space="preserve">: https://help.boomi.com/docs/Atomsphere/Integration/MFT/AutomatedFileTransfer/user-guide/organizations/endpoint-types/</w:t>
      </w:r>
    </w:p>
    <w:p>
      <w:pPr>
        <w:pStyle w:val="ListParagraph"/>
        <w:numPr>
          <w:ilvl w:val="0"/>
          <w:numId w:val="2"/>
        </w:numPr>
      </w:pPr>
      <w:hyperlink w:history="1" r:id="rIdv7iwnkrrck2joo6kph5__">
        <w:r>
          <w:rPr>
            <w:rStyle w:val="Hyperlink"/>
          </w:rPr>
          <w:t xml:space="preserve">MFT Nodes</w:t>
        </w:r>
      </w:hyperlink>
      <w:r>
        <w:rPr>
          <w:color w:val="52606D"/>
          <w:sz w:val="18"/>
          <w:szCs w:val="18"/>
        </w:rPr>
        <w:t xml:space="preserve">: https://help.boomi.com/docs/Atomsphere/Integration/MFT/AutomatedFileTransfer/user-guide/organizations/mftnodes/</w:t>
      </w:r>
    </w:p>
    <w:p>
      <w:pPr>
        <w:pStyle w:val="ListParagraph"/>
        <w:numPr>
          <w:ilvl w:val="0"/>
          <w:numId w:val="2"/>
        </w:numPr>
      </w:pPr>
      <w:hyperlink w:history="1" r:id="rIdj-jekvl62orx45quoudzn">
        <w:r>
          <w:rPr>
            <w:rStyle w:val="Hyperlink"/>
          </w:rPr>
          <w:t xml:space="preserve">MFT Node runtime</w:t>
        </w:r>
      </w:hyperlink>
      <w:r>
        <w:rPr>
          <w:color w:val="52606D"/>
          <w:sz w:val="18"/>
          <w:szCs w:val="18"/>
        </w:rPr>
        <w:t xml:space="preserve">: https://help.boomi.com/docs/Atomsphere/Integration/MFT/AutomatedFileTransfer/user-guide/mft-node-runtime/</w:t>
      </w:r>
    </w:p>
    <w:p>
      <w:pPr>
        <w:pStyle w:val="ListParagraph"/>
        <w:numPr>
          <w:ilvl w:val="0"/>
          <w:numId w:val="2"/>
        </w:numPr>
      </w:pPr>
      <w:hyperlink w:history="1" r:id="rId3th9bzxujcbu3bi1lrxbd">
        <w:r>
          <w:rPr>
            <w:rStyle w:val="Hyperlink"/>
          </w:rPr>
          <w:t xml:space="preserve">File Sharing user guide</w:t>
        </w:r>
      </w:hyperlink>
      <w:r>
        <w:rPr>
          <w:color w:val="52606D"/>
          <w:sz w:val="18"/>
          <w:szCs w:val="18"/>
        </w:rPr>
        <w:t xml:space="preserve">: https://help.boomi.com/docs/Atomsphere/Integration/MFT/FileSharing/FileSharingUserGuide/file-sharing-user-guide</w:t>
      </w:r>
    </w:p>
    <w:p>
      <w:pPr>
        <w:pStyle w:val="ListParagraph"/>
        <w:numPr>
          <w:ilvl w:val="0"/>
          <w:numId w:val="2"/>
        </w:numPr>
      </w:pPr>
      <w:hyperlink w:history="1" r:id="rIdqmvwongwan9rhjiebfxmc">
        <w:r>
          <w:rPr>
            <w:rStyle w:val="Hyperlink"/>
          </w:rPr>
          <w:t xml:space="preserve">File Sharing administration guide</w:t>
        </w:r>
      </w:hyperlink>
      <w:r>
        <w:rPr>
          <w:color w:val="52606D"/>
          <w:sz w:val="18"/>
          <w:szCs w:val="18"/>
        </w:rPr>
        <w:t xml:space="preserve">: https://help.boomi.com/docs/Atomsphere/Integration/MFT/FileSharing/AdministrationGuide/administration-guide</w:t>
      </w:r>
    </w:p>
    <w:p>
      <w:pPr>
        <w:pStyle w:val="ListParagraph"/>
        <w:numPr>
          <w:ilvl w:val="0"/>
          <w:numId w:val="2"/>
        </w:numPr>
      </w:pPr>
      <w:hyperlink w:history="1" r:id="rIdpxjjrhsm11anu0ff43pwy">
        <w:r>
          <w:rPr>
            <w:rStyle w:val="Hyperlink"/>
          </w:rPr>
          <w:t xml:space="preserve">Boomi product roadmap, Q3 2026</w:t>
        </w:r>
      </w:hyperlink>
      <w:r>
        <w:rPr>
          <w:color w:val="52606D"/>
          <w:sz w:val="18"/>
          <w:szCs w:val="18"/>
        </w:rPr>
        <w:t xml:space="preserve">: https://boomi.com/ja/blog/boomi-product-roadmap-q3-2026-everything-you-want-to-know/</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606D"/>
        <w:sz w:val="16"/>
        <w:szCs w:val="16"/>
      </w:rPr>
      <w:t xml:space="preserve">Page </w:t>
    </w:r>
    <w:r>
      <w:rPr>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606D"/>
        <w:sz w:val="16"/>
        <w:szCs w:val="16"/>
      </w:rPr>
      <w:t xml:space="preserve">Boomi MFT Platform: Overview, AFT and FS | v0.2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4304F"/>
      <w:sz w:val="40"/>
      <w:szCs w:val="40"/>
    </w:rPr>
  </w:style>
  <w:style w:type="paragraph" w:styleId="Heading1">
    <w:name w:val="Heading 1"/>
    <w:basedOn w:val="Normal"/>
    <w:next w:val="Normal"/>
    <w:qFormat/>
    <w:pPr>
      <w:keepNext/>
      <w:keepLines/>
      <w:spacing w:after="120" w:before="280"/>
      <w:outlineLvl w:val="0"/>
    </w:pPr>
    <w:rPr>
      <w:b/>
      <w:bCs/>
      <w:color w:val="1D4E89"/>
      <w:sz w:val="28"/>
      <w:szCs w:val="28"/>
    </w:rPr>
  </w:style>
  <w:style w:type="paragraph" w:styleId="Heading2">
    <w:name w:val="Heading 2"/>
    <w:basedOn w:val="Normal"/>
    <w:next w:val="Normal"/>
    <w:qFormat/>
    <w:pPr>
      <w:keepNext/>
      <w:keepLines/>
      <w:spacing w:after="100" w:before="200"/>
      <w:outlineLvl w:val="1"/>
    </w:pPr>
    <w:rPr>
      <w:b/>
      <w:bCs/>
      <w:color w:val="1F29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2kk48bk62s4ku4btrc7fo" Type="http://schemas.openxmlformats.org/officeDocument/2006/relationships/hyperlink" Target="https://help.boomi.com/docs/Atomsphere/Integration/MFT/boomi_mft" TargetMode="External"/><Relationship Id="rId0ckji80vcltomtfzdlaf5" Type="http://schemas.openxmlformats.org/officeDocument/2006/relationships/hyperlink" Target="https://help.boomi.com/docs/Atomsphere/Integration/MFT/AutomatedFileTransfer/aft" TargetMode="External"/><Relationship Id="rIde-tk_e2uorzqgosxlropy" Type="http://schemas.openxmlformats.org/officeDocument/2006/relationships/hyperlink" Target="https://help.boomi.com/docs/Atomsphere/Integration/MFT/AutomatedFileTransfer/user-guide/organizations/endpoint-types/" TargetMode="External"/><Relationship Id="rIdv7iwnkrrck2joo6kph5__" Type="http://schemas.openxmlformats.org/officeDocument/2006/relationships/hyperlink" Target="https://help.boomi.com/docs/Atomsphere/Integration/MFT/AutomatedFileTransfer/user-guide/organizations/mftnodes/" TargetMode="External"/><Relationship Id="rIdj-jekvl62orx45quoudzn" Type="http://schemas.openxmlformats.org/officeDocument/2006/relationships/hyperlink" Target="https://help.boomi.com/docs/Atomsphere/Integration/MFT/AutomatedFileTransfer/user-guide/mft-node-runtime/" TargetMode="External"/><Relationship Id="rId3th9bzxujcbu3bi1lrxbd" Type="http://schemas.openxmlformats.org/officeDocument/2006/relationships/hyperlink" Target="https://help.boomi.com/docs/Atomsphere/Integration/MFT/FileSharing/FileSharingUserGuide/file-sharing-user-guide" TargetMode="External"/><Relationship Id="rIdqmvwongwan9rhjiebfxmc" Type="http://schemas.openxmlformats.org/officeDocument/2006/relationships/hyperlink" Target="https://help.boomi.com/docs/Atomsphere/Integration/MFT/FileSharing/AdministrationGuide/administration-guide" TargetMode="External"/><Relationship Id="rIdpxjjrhsm11anu0ff43pwy" Type="http://schemas.openxmlformats.org/officeDocument/2006/relationships/hyperlink" Target="https://boomi.com/ja/blog/boomi-product-roadmap-q3-2026-everything-you-want-to-know/" TargetMode="External"/><Relationship Id="rId9" Type="http://schemas.openxmlformats.org/officeDocument/2006/relationships/image" Target="media/7ad930d2eae37ccfb46d3e2ff331d54c45b31f2a.png"/><Relationship Id="rId10" Type="http://schemas.openxmlformats.org/officeDocument/2006/relationships/image" Target="media/86ee1d6040ee08c16903233b2e1d44e258b9fe41.png"/><Relationship Id="rId11" Type="http://schemas.openxmlformats.org/officeDocument/2006/relationships/image" Target="media/ba25ce1b714a94d147fb1db06ed1a25daabcb08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Boomi MFT Platform: Overview, AFT and FS</dc:title>
  <dc:creator>Integration Architect</dc:creator>
  <cp:lastModifiedBy>Un-named</cp:lastModifiedBy>
  <cp:revision>1</cp:revision>
  <dcterms:created xsi:type="dcterms:W3CDTF">2026-10-22T15:48:41.620Z</dcterms:created>
  <dcterms:modified xsi:type="dcterms:W3CDTF">2026-10-22T15:48:41.622Z</dcterms:modified>
</cp:coreProperties>
</file>

<file path=docProps/custom.xml><?xml version="1.0" encoding="utf-8"?>
<Properties xmlns="http://schemas.openxmlformats.org/officeDocument/2006/custom-properties" xmlns:vt="http://schemas.openxmlformats.org/officeDocument/2006/docPropsVTypes"/>
</file>