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123A"/>
        </w:rPr>
        <w:t xml:space="preserve">OFFICIAL</w:t>
      </w:r>
    </w:p>
    <w:p>
      <w:pPr>
        <w:spacing w:before="120"/>
        <w:jc w:val="center"/>
      </w:pPr>
      <w:r>
        <w:rPr>
          <w:b/>
          <w:bCs/>
          <w:color w:val="12123A"/>
          <w:sz w:val="40"/>
          <w:szCs w:val="40"/>
        </w:rPr>
        <w:t xml:space="preserve">Solution Design Document</w:t>
      </w:r>
    </w:p>
    <w:p>
      <w:pPr>
        <w:jc w:val="center"/>
      </w:pPr>
      <w:r>
        <w:rPr>
          <w:b/>
          <w:bCs/>
          <w:color w:val="2e6ca4"/>
          <w:sz w:val="28"/>
          <w:szCs w:val="28"/>
        </w:rPr>
        <w:t xml:space="preserve">Managed File Transfer on Boomi (powered by Thru)</w:t>
      </w:r>
    </w:p>
    <w:p>
      <w:pPr>
        <w:spacing w:after="60"/>
        <w:jc w:val="center"/>
      </w:pPr>
      <w:r>
        <w:rPr>
          <w:i/>
          <w:iCs/>
          <w:color w:val="5b6b7d"/>
        </w:rPr>
        <w:t xml:space="preserve">Platform capabilities · Architecture · Integration with the HMRC estate · Configuration promotion · Gaps &amp; drawbacks</w:t>
      </w:r>
    </w:p>
    <w:p>
      <w:pPr>
        <w:jc w:val="center"/>
      </w:pPr>
      <w:r>
        <w:rPr>
          <w:color w:val="5b6b7d"/>
        </w:rPr>
        <w:t xml:space="preserve">HM Revenue &amp; Customs — Integration Platform (Boomi iPaaS) Programme</w:t>
      </w:r>
    </w:p>
    <w:p>
      <w:pPr>
        <w:spacing w:after="120"/>
        <w:jc w:val="center"/>
      </w:pPr>
      <w:r>
        <w:rPr>
          <w:b/>
          <w:bCs/>
          <w:color w:val="12123A"/>
        </w:rPr>
        <w:t xml:space="preserve">Version 0.2 (Revised after Design Authority review) · 31 July 2026</w:t>
      </w:r>
    </w:p>
    <w:p>
      <w:r>
        <w:t xml:space="preserve"/>
      </w:r>
    </w:p>
    <w:p>
      <w:r>
        <w:rPr>
          <w:b/>
          <w:bCs/>
          <w:color w:val="12123A"/>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rPr>
          <w:b/>
          <w:bCs/>
          <w:color w:val="12123A"/>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226"/>
      </w:tblGrid>
      <w:tr>
        <w:trPr>
          <w:tblHeader/>
        </w:trPr>
        <w:tc>
          <w:tcPr>
            <w:tcW w:type="dxa" w:w="2200"/>
            <w:shd w:fill="12123A" w:val="clear"/>
            <w:tcMar>
              <w:top w:type="dxa" w:w="40"/>
              <w:left w:type="dxa" w:w="90"/>
              <w:bottom w:type="dxa" w:w="40"/>
              <w:right w:type="dxa" w:w="90"/>
            </w:tcMar>
          </w:tcPr>
          <w:p>
            <w:r>
              <w:rPr>
                <w:b/>
                <w:bCs/>
                <w:color w:val="FFFFFF"/>
              </w:rPr>
              <w:t xml:space="preserve">Attribute</w:t>
            </w:r>
          </w:p>
        </w:tc>
        <w:tc>
          <w:tcPr>
            <w:tcW w:type="dxa" w:w="2600"/>
            <w:shd w:fill="12123A" w:val="clear"/>
            <w:tcMar>
              <w:top w:type="dxa" w:w="40"/>
              <w:left w:type="dxa" w:w="90"/>
              <w:bottom w:type="dxa" w:w="40"/>
              <w:right w:type="dxa" w:w="90"/>
            </w:tcMar>
          </w:tcPr>
          <w:p>
            <w:r>
              <w:rPr>
                <w:b/>
                <w:bCs/>
                <w:color w:val="FFFFFF"/>
              </w:rPr>
              <w:t xml:space="preserve">Value</w:t>
            </w:r>
          </w:p>
        </w:tc>
        <w:tc>
          <w:tcPr>
            <w:tcW w:type="dxa" w:w="2000"/>
            <w:shd w:fill="12123A" w:val="clear"/>
            <w:tcMar>
              <w:top w:type="dxa" w:w="40"/>
              <w:left w:type="dxa" w:w="90"/>
              <w:bottom w:type="dxa" w:w="40"/>
              <w:right w:type="dxa" w:w="90"/>
            </w:tcMar>
          </w:tcPr>
          <w:p>
            <w:r>
              <w:rPr>
                <w:b/>
                <w:bCs/>
                <w:color w:val="FFFFFF"/>
              </w:rPr>
              <w:t xml:space="preserve">Attribute</w:t>
            </w:r>
          </w:p>
        </w:tc>
        <w:tc>
          <w:tcPr>
            <w:tcW w:type="dxa" w:w="2226"/>
            <w:shd w:fill="12123A" w:val="clear"/>
            <w:tcMar>
              <w:top w:type="dxa" w:w="40"/>
              <w:left w:type="dxa" w:w="90"/>
              <w:bottom w:type="dxa" w:w="40"/>
              <w:right w:type="dxa" w:w="90"/>
            </w:tcMar>
          </w:tcPr>
          <w:p>
            <w:r>
              <w:rPr>
                <w:b/>
                <w:bCs/>
                <w:color w:val="FFFFFF"/>
              </w:rPr>
              <w:t xml:space="preserve">Value</w:t>
            </w:r>
          </w:p>
        </w:tc>
      </w:tr>
      <w:tr>
        <w:trPr>
          <w:tblHeader w:val="false"/>
        </w:trPr>
        <w:tc>
          <w:tcPr>
            <w:tcW w:type="dxa" w:w="2200"/>
            <w:tcMar>
              <w:top w:type="dxa" w:w="40"/>
              <w:left w:type="dxa" w:w="90"/>
              <w:bottom w:type="dxa" w:w="40"/>
              <w:right w:type="dxa" w:w="90"/>
            </w:tcMar>
          </w:tcPr>
          <w:p>
            <w:r>
              <w:rPr>
                <w:b/>
                <w:bCs/>
              </w:rPr>
              <w:t xml:space="preserve">Document title</w:t>
            </w:r>
          </w:p>
        </w:tc>
        <w:tc>
          <w:tcPr>
            <w:tcW w:type="dxa" w:w="2600"/>
            <w:tcMar>
              <w:top w:type="dxa" w:w="40"/>
              <w:left w:type="dxa" w:w="90"/>
              <w:bottom w:type="dxa" w:w="40"/>
              <w:right w:type="dxa" w:w="90"/>
            </w:tcMar>
          </w:tcPr>
          <w:p>
            <w:r>
              <w:rPr>
                <w:b w:val="false"/>
                <w:bCs w:val="false"/>
              </w:rPr>
              <w:t xml:space="preserve">SDD — MFT on Boomi (Thru)</w:t>
            </w:r>
          </w:p>
        </w:tc>
        <w:tc>
          <w:tcPr>
            <w:tcW w:type="dxa" w:w="2000"/>
            <w:tcMar>
              <w:top w:type="dxa" w:w="40"/>
              <w:left w:type="dxa" w:w="90"/>
              <w:bottom w:type="dxa" w:w="40"/>
              <w:right w:type="dxa" w:w="90"/>
            </w:tcMar>
          </w:tcPr>
          <w:p>
            <w:r>
              <w:rPr>
                <w:b/>
                <w:bCs/>
              </w:rPr>
              <w:t xml:space="preserve">Classification</w:t>
            </w:r>
          </w:p>
        </w:tc>
        <w:tc>
          <w:tcPr>
            <w:tcW w:type="dxa" w:w="2226"/>
            <w:tcMar>
              <w:top w:type="dxa" w:w="40"/>
              <w:left w:type="dxa" w:w="90"/>
              <w:bottom w:type="dxa" w:w="40"/>
              <w:right w:type="dxa" w:w="90"/>
            </w:tcMar>
          </w:tcPr>
          <w:p>
            <w:r>
              <w:rPr>
                <w:b/>
                <w:bCs/>
              </w:rPr>
              <w:t xml:space="preserve">OFFICIAL</w:t>
            </w:r>
          </w:p>
        </w:tc>
      </w:tr>
      <w:tr>
        <w:trPr>
          <w:tblHeader w:val="false"/>
        </w:trPr>
        <w:tc>
          <w:tcPr>
            <w:tcW w:type="dxa" w:w="2200"/>
            <w:tcMar>
              <w:top w:type="dxa" w:w="40"/>
              <w:left w:type="dxa" w:w="90"/>
              <w:bottom w:type="dxa" w:w="40"/>
              <w:right w:type="dxa" w:w="90"/>
            </w:tcMar>
          </w:tcPr>
          <w:p>
            <w:r>
              <w:rPr>
                <w:b/>
                <w:bCs/>
              </w:rPr>
              <w:t xml:space="preserve">Version</w:t>
            </w:r>
          </w:p>
        </w:tc>
        <w:tc>
          <w:tcPr>
            <w:tcW w:type="dxa" w:w="2600"/>
            <w:tcMar>
              <w:top w:type="dxa" w:w="40"/>
              <w:left w:type="dxa" w:w="90"/>
              <w:bottom w:type="dxa" w:w="40"/>
              <w:right w:type="dxa" w:w="90"/>
            </w:tcMar>
          </w:tcPr>
          <w:p>
            <w:r>
              <w:rPr>
                <w:b/>
                <w:bCs/>
              </w:rPr>
              <w:t xml:space="preserve">0.2 (Revised)</w:t>
            </w:r>
          </w:p>
        </w:tc>
        <w:tc>
          <w:tcPr>
            <w:tcW w:type="dxa" w:w="2000"/>
            <w:tcMar>
              <w:top w:type="dxa" w:w="40"/>
              <w:left w:type="dxa" w:w="90"/>
              <w:bottom w:type="dxa" w:w="40"/>
              <w:right w:type="dxa" w:w="90"/>
            </w:tcMar>
          </w:tcPr>
          <w:p>
            <w:r>
              <w:rPr>
                <w:b/>
                <w:bCs/>
              </w:rPr>
              <w:t xml:space="preserve">Status</w:t>
            </w:r>
          </w:p>
        </w:tc>
        <w:tc>
          <w:tcPr>
            <w:tcW w:type="dxa" w:w="2226"/>
            <w:tcMar>
              <w:top w:type="dxa" w:w="40"/>
              <w:left w:type="dxa" w:w="90"/>
              <w:bottom w:type="dxa" w:w="40"/>
              <w:right w:type="dxa" w:w="90"/>
            </w:tcMar>
          </w:tcPr>
          <w:p>
            <w:r>
              <w:rPr>
                <w:b w:val="false"/>
                <w:bCs w:val="false"/>
              </w:rPr>
              <w:t xml:space="preserve">Peer review → Design Authority</w:t>
            </w:r>
          </w:p>
        </w:tc>
      </w:tr>
      <w:tr>
        <w:trPr>
          <w:tblHeader w:val="false"/>
        </w:trPr>
        <w:tc>
          <w:tcPr>
            <w:tcW w:type="dxa" w:w="2200"/>
            <w:tcMar>
              <w:top w:type="dxa" w:w="40"/>
              <w:left w:type="dxa" w:w="90"/>
              <w:bottom w:type="dxa" w:w="40"/>
              <w:right w:type="dxa" w:w="90"/>
            </w:tcMar>
          </w:tcPr>
          <w:p>
            <w:r>
              <w:rPr>
                <w:b/>
                <w:bCs/>
              </w:rPr>
              <w:t xml:space="preserve">Author</w:t>
            </w:r>
          </w:p>
        </w:tc>
        <w:tc>
          <w:tcPr>
            <w:tcW w:type="dxa" w:w="2600"/>
            <w:tcMar>
              <w:top w:type="dxa" w:w="40"/>
              <w:left w:type="dxa" w:w="90"/>
              <w:bottom w:type="dxa" w:w="40"/>
              <w:right w:type="dxa" w:w="90"/>
            </w:tcMar>
          </w:tcPr>
          <w:p>
            <w:r>
              <w:rPr>
                <w:b w:val="false"/>
                <w:bCs w:val="false"/>
              </w:rPr>
              <w:t xml:space="preserve">Integration Architecture</w:t>
            </w:r>
          </w:p>
        </w:tc>
        <w:tc>
          <w:tcPr>
            <w:tcW w:type="dxa" w:w="2000"/>
            <w:tcMar>
              <w:top w:type="dxa" w:w="40"/>
              <w:left w:type="dxa" w:w="90"/>
              <w:bottom w:type="dxa" w:w="40"/>
              <w:right w:type="dxa" w:w="90"/>
            </w:tcMar>
          </w:tcPr>
          <w:p>
            <w:r>
              <w:rPr>
                <w:b/>
                <w:bCs/>
              </w:rPr>
              <w:t xml:space="preserve">Revised</w:t>
            </w:r>
          </w:p>
        </w:tc>
        <w:tc>
          <w:tcPr>
            <w:tcW w:type="dxa" w:w="2226"/>
            <w:tcMar>
              <w:top w:type="dxa" w:w="40"/>
              <w:left w:type="dxa" w:w="90"/>
              <w:bottom w:type="dxa" w:w="40"/>
              <w:right w:type="dxa" w:w="90"/>
            </w:tcMar>
          </w:tcPr>
          <w:p>
            <w:r>
              <w:rPr>
                <w:b w:val="false"/>
                <w:bCs w:val="false"/>
              </w:rPr>
              <w:t xml:space="preserve">31 July 2026</w:t>
            </w:r>
          </w:p>
        </w:tc>
      </w:tr>
      <w:tr>
        <w:trPr>
          <w:tblHeader w:val="false"/>
        </w:trPr>
        <w:tc>
          <w:tcPr>
            <w:tcW w:type="dxa" w:w="2200"/>
            <w:tcMar>
              <w:top w:type="dxa" w:w="40"/>
              <w:left w:type="dxa" w:w="90"/>
              <w:bottom w:type="dxa" w:w="40"/>
              <w:right w:type="dxa" w:w="90"/>
            </w:tcMar>
          </w:tcPr>
          <w:p>
            <w:r>
              <w:rPr>
                <w:b/>
                <w:bCs/>
              </w:rPr>
              <w:t xml:space="preserve">Owner</w:t>
            </w:r>
          </w:p>
        </w:tc>
        <w:tc>
          <w:tcPr>
            <w:tcW w:type="dxa" w:w="2600"/>
            <w:tcMar>
              <w:top w:type="dxa" w:w="40"/>
              <w:left w:type="dxa" w:w="90"/>
              <w:bottom w:type="dxa" w:w="40"/>
              <w:right w:type="dxa" w:w="90"/>
            </w:tcMar>
          </w:tcPr>
          <w:p>
            <w:r>
              <w:rPr>
                <w:b w:val="false"/>
                <w:bCs w:val="false"/>
              </w:rPr>
              <w:t xml:space="preserve">Integration Platform Programme</w:t>
            </w:r>
          </w:p>
        </w:tc>
        <w:tc>
          <w:tcPr>
            <w:tcW w:type="dxa" w:w="2000"/>
            <w:tcMar>
              <w:top w:type="dxa" w:w="40"/>
              <w:left w:type="dxa" w:w="90"/>
              <w:bottom w:type="dxa" w:w="40"/>
              <w:right w:type="dxa" w:w="90"/>
            </w:tcMar>
          </w:tcPr>
          <w:p>
            <w:r>
              <w:rPr>
                <w:b/>
                <w:bCs/>
              </w:rPr>
              <w:t xml:space="preserve">Product</w:t>
            </w:r>
          </w:p>
        </w:tc>
        <w:tc>
          <w:tcPr>
            <w:tcW w:type="dxa" w:w="2226"/>
            <w:tcMar>
              <w:top w:type="dxa" w:w="40"/>
              <w:left w:type="dxa" w:w="90"/>
              <w:bottom w:type="dxa" w:w="40"/>
              <w:right w:type="dxa" w:w="90"/>
            </w:tcMar>
          </w:tcPr>
          <w:p>
            <w:r>
              <w:rPr>
                <w:b w:val="false"/>
                <w:bCs w:val="false"/>
              </w:rPr>
              <w:t xml:space="preserve">Boomi Enterprise Platform — MFT</w:t>
            </w:r>
          </w:p>
        </w:tc>
      </w:tr>
      <w:tr>
        <w:trPr>
          <w:tblHeader w:val="false"/>
        </w:trPr>
        <w:tc>
          <w:tcPr>
            <w:tcW w:type="dxa" w:w="2200"/>
            <w:tcMar>
              <w:top w:type="dxa" w:w="40"/>
              <w:left w:type="dxa" w:w="90"/>
              <w:bottom w:type="dxa" w:w="40"/>
              <w:right w:type="dxa" w:w="90"/>
            </w:tcMar>
          </w:tcPr>
          <w:p>
            <w:r>
              <w:rPr>
                <w:b/>
                <w:bCs/>
              </w:rPr>
              <w:t xml:space="preserve">Peer reviewers</w:t>
            </w:r>
          </w:p>
        </w:tc>
        <w:tc>
          <w:tcPr>
            <w:tcW w:type="dxa" w:w="2600"/>
            <w:tcMar>
              <w:top w:type="dxa" w:w="40"/>
              <w:left w:type="dxa" w:w="90"/>
              <w:bottom w:type="dxa" w:w="40"/>
              <w:right w:type="dxa" w:w="90"/>
            </w:tcMar>
          </w:tcPr>
          <w:p>
            <w:r>
              <w:rPr>
                <w:b w:val="false"/>
                <w:bCs w:val="false"/>
              </w:rPr>
              <w:t xml:space="preserve">Jatin, Patrick (streaming), Shijit, Sridhar (estate)</w:t>
            </w:r>
          </w:p>
        </w:tc>
        <w:tc>
          <w:tcPr>
            <w:tcW w:type="dxa" w:w="2000"/>
            <w:tcMar>
              <w:top w:type="dxa" w:w="40"/>
              <w:left w:type="dxa" w:w="90"/>
              <w:bottom w:type="dxa" w:w="40"/>
              <w:right w:type="dxa" w:w="90"/>
            </w:tcMar>
          </w:tcPr>
          <w:p>
            <w:r>
              <w:rPr>
                <w:b/>
                <w:bCs/>
              </w:rPr>
              <w:t xml:space="preserve">Approver</w:t>
            </w:r>
          </w:p>
        </w:tc>
        <w:tc>
          <w:tcPr>
            <w:tcW w:type="dxa" w:w="2226"/>
            <w:tcMar>
              <w:top w:type="dxa" w:w="40"/>
              <w:left w:type="dxa" w:w="90"/>
              <w:bottom w:type="dxa" w:w="40"/>
              <w:right w:type="dxa" w:w="90"/>
            </w:tcMar>
          </w:tcPr>
          <w:p>
            <w:r>
              <w:rPr>
                <w:b w:val="false"/>
                <w:bCs w:val="false"/>
              </w:rPr>
              <w:t xml:space="preserve">Design Authority (pending)</w:t>
            </w:r>
          </w:p>
        </w:tc>
      </w:tr>
      <w:tr>
        <w:trPr>
          <w:tblHeader w:val="false"/>
        </w:trPr>
        <w:tc>
          <w:tcPr>
            <w:tcW w:type="dxa" w:w="2200"/>
            <w:tcMar>
              <w:top w:type="dxa" w:w="40"/>
              <w:left w:type="dxa" w:w="90"/>
              <w:bottom w:type="dxa" w:w="40"/>
              <w:right w:type="dxa" w:w="90"/>
            </w:tcMar>
          </w:tcPr>
          <w:p>
            <w:r>
              <w:rPr>
                <w:b/>
                <w:bCs/>
              </w:rPr>
              <w:t xml:space="preserve">Revised version due</w:t>
            </w:r>
          </w:p>
        </w:tc>
        <w:tc>
          <w:tcPr>
            <w:tcW w:type="dxa" w:w="2600"/>
            <w:tcMar>
              <w:top w:type="dxa" w:w="40"/>
              <w:left w:type="dxa" w:w="90"/>
              <w:bottom w:type="dxa" w:w="40"/>
              <w:right w:type="dxa" w:w="90"/>
            </w:tcMar>
          </w:tcPr>
          <w:p>
            <w:r>
              <w:rPr>
                <w:b w:val="false"/>
                <w:bCs w:val="false"/>
              </w:rPr>
              <w:t xml:space="preserve">Tuesday 4 August 2026</w:t>
            </w:r>
          </w:p>
        </w:tc>
        <w:tc>
          <w:tcPr>
            <w:tcW w:type="dxa" w:w="2000"/>
            <w:tcMar>
              <w:top w:type="dxa" w:w="40"/>
              <w:left w:type="dxa" w:w="90"/>
              <w:bottom w:type="dxa" w:w="40"/>
              <w:right w:type="dxa" w:w="90"/>
            </w:tcMar>
          </w:tcPr>
          <w:p>
            <w:r>
              <w:rPr>
                <w:b/>
                <w:bCs/>
              </w:rPr>
              <w:t xml:space="preserve">Reviewers</w:t>
            </w:r>
          </w:p>
        </w:tc>
        <w:tc>
          <w:tcPr>
            <w:tcW w:type="dxa" w:w="2226"/>
            <w:tcMar>
              <w:top w:type="dxa" w:w="40"/>
              <w:left w:type="dxa" w:w="90"/>
              <w:bottom w:type="dxa" w:w="40"/>
              <w:right w:type="dxa" w:w="90"/>
            </w:tcMar>
          </w:tcPr>
          <w:p>
            <w:r>
              <w:rPr>
                <w:b w:val="false"/>
                <w:bCs w:val="false"/>
              </w:rPr>
              <w:t xml:space="preserve">Design Authority; Security; Ops</w:t>
            </w:r>
          </w:p>
        </w:tc>
      </w:tr>
    </w:tbl>
    <w:p>
      <w:pPr>
        <w:spacing w:before="120"/>
      </w:pPr>
      <w:r>
        <w:rPr>
          <w:b/>
          <w:bCs/>
          <w:color w:val="12123A"/>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3826"/>
      </w:tblGrid>
      <w:tr>
        <w:trPr>
          <w:tblHeader/>
        </w:trPr>
        <w:tc>
          <w:tcPr>
            <w:tcW w:type="dxa" w:w="1200"/>
            <w:shd w:fill="12123A" w:val="clear"/>
            <w:tcMar>
              <w:top w:type="dxa" w:w="40"/>
              <w:left w:type="dxa" w:w="90"/>
              <w:bottom w:type="dxa" w:w="40"/>
              <w:right w:type="dxa" w:w="90"/>
            </w:tcMar>
          </w:tcPr>
          <w:p>
            <w:r>
              <w:rPr>
                <w:b/>
                <w:bCs/>
                <w:color w:val="FFFFFF"/>
              </w:rPr>
              <w:t xml:space="preserve">Version</w:t>
            </w:r>
          </w:p>
        </w:tc>
        <w:tc>
          <w:tcPr>
            <w:tcW w:type="dxa" w:w="1600"/>
            <w:shd w:fill="12123A" w:val="clear"/>
            <w:tcMar>
              <w:top w:type="dxa" w:w="40"/>
              <w:left w:type="dxa" w:w="90"/>
              <w:bottom w:type="dxa" w:w="40"/>
              <w:right w:type="dxa" w:w="90"/>
            </w:tcMar>
          </w:tcPr>
          <w:p>
            <w:r>
              <w:rPr>
                <w:b/>
                <w:bCs/>
                <w:color w:val="FFFFFF"/>
              </w:rPr>
              <w:t xml:space="preserve">Date</w:t>
            </w:r>
          </w:p>
        </w:tc>
        <w:tc>
          <w:tcPr>
            <w:tcW w:type="dxa" w:w="2400"/>
            <w:shd w:fill="12123A" w:val="clear"/>
            <w:tcMar>
              <w:top w:type="dxa" w:w="40"/>
              <w:left w:type="dxa" w:w="90"/>
              <w:bottom w:type="dxa" w:w="40"/>
              <w:right w:type="dxa" w:w="90"/>
            </w:tcMar>
          </w:tcPr>
          <w:p>
            <w:r>
              <w:rPr>
                <w:b/>
                <w:bCs/>
                <w:color w:val="FFFFFF"/>
              </w:rPr>
              <w:t xml:space="preserve">Author</w:t>
            </w:r>
          </w:p>
        </w:tc>
        <w:tc>
          <w:tcPr>
            <w:tcW w:type="dxa" w:w="3826"/>
            <w:shd w:fill="12123A" w:val="clear"/>
            <w:tcMar>
              <w:top w:type="dxa" w:w="40"/>
              <w:left w:type="dxa" w:w="90"/>
              <w:bottom w:type="dxa" w:w="40"/>
              <w:right w:type="dxa" w:w="90"/>
            </w:tcMar>
          </w:tcPr>
          <w:p>
            <w:r>
              <w:rPr>
                <w:b/>
                <w:bCs/>
                <w:color w:val="FFFFFF"/>
              </w:rPr>
              <w:t xml:space="preserve">Summary of change</w:t>
            </w:r>
          </w:p>
        </w:tc>
      </w:tr>
      <w:tr>
        <w:trPr>
          <w:tblHeader w:val="false"/>
        </w:trPr>
        <w:tc>
          <w:tcPr>
            <w:tcW w:type="dxa" w:w="1200"/>
            <w:tcMar>
              <w:top w:type="dxa" w:w="40"/>
              <w:left w:type="dxa" w:w="90"/>
              <w:bottom w:type="dxa" w:w="40"/>
              <w:right w:type="dxa" w:w="90"/>
            </w:tcMar>
          </w:tcPr>
          <w:p>
            <w:r>
              <w:rPr>
                <w:b w:val="false"/>
                <w:bCs w:val="false"/>
              </w:rPr>
              <w:t xml:space="preserve">0.1</w:t>
            </w:r>
          </w:p>
        </w:tc>
        <w:tc>
          <w:tcPr>
            <w:tcW w:type="dxa" w:w="1600"/>
            <w:tcMar>
              <w:top w:type="dxa" w:w="40"/>
              <w:left w:type="dxa" w:w="90"/>
              <w:bottom w:type="dxa" w:w="40"/>
              <w:right w:type="dxa" w:w="90"/>
            </w:tcMar>
          </w:tcPr>
          <w:p>
            <w:r>
              <w:rPr>
                <w:b w:val="false"/>
                <w:bCs w:val="false"/>
              </w:rPr>
              <w:t xml:space="preserve">20 Jul 2026</w:t>
            </w:r>
          </w:p>
        </w:tc>
        <w:tc>
          <w:tcPr>
            <w:tcW w:type="dxa" w:w="2400"/>
            <w:tcMar>
              <w:top w:type="dxa" w:w="40"/>
              <w:left w:type="dxa" w:w="90"/>
              <w:bottom w:type="dxa" w:w="40"/>
              <w:right w:type="dxa" w:w="90"/>
            </w:tcMar>
          </w:tcPr>
          <w:p>
            <w:r>
              <w:rPr>
                <w:b w:val="false"/>
                <w:bCs w:val="false"/>
              </w:rPr>
              <w:t xml:space="preserve">Integration Architecture</w:t>
            </w:r>
          </w:p>
        </w:tc>
        <w:tc>
          <w:tcPr>
            <w:tcW w:type="dxa" w:w="3826"/>
            <w:tcMar>
              <w:top w:type="dxa" w:w="40"/>
              <w:left w:type="dxa" w:w="90"/>
              <w:bottom w:type="dxa" w:w="40"/>
              <w:right w:type="dxa" w:w="90"/>
            </w:tcMar>
          </w:tcPr>
          <w:p>
            <w:r>
              <w:rPr>
                <w:b w:val="false"/>
                <w:bCs w:val="false"/>
              </w:rPr>
              <w:t xml:space="preserve">Initial draft for Design Authority review.</w:t>
            </w:r>
          </w:p>
        </w:tc>
      </w:tr>
      <w:tr>
        <w:trPr>
          <w:tblHeader w:val="false"/>
        </w:trPr>
        <w:tc>
          <w:tcPr>
            <w:tcW w:type="dxa" w:w="1200"/>
            <w:tcMar>
              <w:top w:type="dxa" w:w="40"/>
              <w:left w:type="dxa" w:w="90"/>
              <w:bottom w:type="dxa" w:w="40"/>
              <w:right w:type="dxa" w:w="90"/>
            </w:tcMar>
          </w:tcPr>
          <w:p>
            <w:r>
              <w:rPr>
                <w:b w:val="false"/>
                <w:bCs w:val="false"/>
              </w:rPr>
              <w:t xml:space="preserve">0.2</w:t>
            </w:r>
          </w:p>
        </w:tc>
        <w:tc>
          <w:tcPr>
            <w:tcW w:type="dxa" w:w="1600"/>
            <w:tcMar>
              <w:top w:type="dxa" w:w="40"/>
              <w:left w:type="dxa" w:w="90"/>
              <w:bottom w:type="dxa" w:w="40"/>
              <w:right w:type="dxa" w:w="90"/>
            </w:tcMar>
          </w:tcPr>
          <w:p>
            <w:r>
              <w:rPr>
                <w:b w:val="false"/>
                <w:bCs w:val="false"/>
              </w:rPr>
              <w:t xml:space="preserve">31 Jul 2026</w:t>
            </w:r>
          </w:p>
        </w:tc>
        <w:tc>
          <w:tcPr>
            <w:tcW w:type="dxa" w:w="2400"/>
            <w:tcMar>
              <w:top w:type="dxa" w:w="40"/>
              <w:left w:type="dxa" w:w="90"/>
              <w:bottom w:type="dxa" w:w="40"/>
              <w:right w:type="dxa" w:w="90"/>
            </w:tcMar>
          </w:tcPr>
          <w:p>
            <w:r>
              <w:rPr>
                <w:b w:val="false"/>
                <w:bCs w:val="false"/>
              </w:rPr>
              <w:t xml:space="preserve">Integration Architecture</w:t>
            </w:r>
          </w:p>
        </w:tc>
        <w:tc>
          <w:tcPr>
            <w:tcW w:type="dxa" w:w="3826"/>
            <w:tcMar>
              <w:top w:type="dxa" w:w="40"/>
              <w:left w:type="dxa" w:w="90"/>
              <w:bottom w:type="dxa" w:w="40"/>
              <w:right w:type="dxa" w:w="90"/>
            </w:tcMar>
          </w:tcPr>
          <w:p>
            <w:r>
              <w:rPr>
                <w:b w:val="false"/>
                <w:bCs w:val="false"/>
              </w:rPr>
              <w:t xml:space="preserve">Revised after DA review (30 Jul 2026): incumbent estate corrected to ESDES/SDS; WebMethods removed from the file-transfer narrative; drivers restated (visibility, large files, low-code); runtime agents as brokers and east-west movement added; AV placement and planned runtime-AV patch added; terminology corrected (no control/data plane; API gateway not CAM; register → catalogue); configuration promotion strategy added as a dedicated section; architecture figure re-cut with numbered flows, triggers and AV; vendor security claims qualified.</w:t>
            </w:r>
          </w:p>
        </w:tc>
      </w:tr>
    </w:tbl>
    <w:p>
      <w:pPr>
        <w:pStyle w:val="Heading1"/>
        <w:spacing w:after="120" w:before="260"/>
      </w:pPr>
      <w:r>
        <w:rPr>
          <w:b/>
          <w:bCs/>
          <w:color w:val="12123A"/>
        </w:rPr>
        <w:t xml:space="preserve">2  Review response — changes in this version</w:t>
      </w:r>
    </w:p>
    <w:p>
      <w:pPr>
        <w:spacing w:after="100"/>
      </w:pPr>
      <w:r>
        <w:t xml:space="preserve">This version answers the Design Authority review of 30 July 2026. Each comment is mapped to the change made and where it lands, so the review can be checked rather than re-litigated.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026"/>
        <w:gridCol w:w="1600"/>
      </w:tblGrid>
      <w:tr>
        <w:trPr>
          <w:tblHeader/>
        </w:trPr>
        <w:tc>
          <w:tcPr>
            <w:tcW w:type="dxa" w:w="3400"/>
            <w:shd w:fill="12123A" w:val="clear"/>
            <w:tcMar>
              <w:top w:type="dxa" w:w="40"/>
              <w:left w:type="dxa" w:w="90"/>
              <w:bottom w:type="dxa" w:w="40"/>
              <w:right w:type="dxa" w:w="90"/>
            </w:tcMar>
          </w:tcPr>
          <w:p>
            <w:r>
              <w:rPr>
                <w:b/>
                <w:bCs/>
                <w:color w:val="FFFFFF"/>
              </w:rPr>
              <w:t xml:space="preserve">Review comment</w:t>
            </w:r>
          </w:p>
        </w:tc>
        <w:tc>
          <w:tcPr>
            <w:tcW w:type="dxa" w:w="4026"/>
            <w:shd w:fill="12123A" w:val="clear"/>
            <w:tcMar>
              <w:top w:type="dxa" w:w="40"/>
              <w:left w:type="dxa" w:w="90"/>
              <w:bottom w:type="dxa" w:w="40"/>
              <w:right w:type="dxa" w:w="90"/>
            </w:tcMar>
          </w:tcPr>
          <w:p>
            <w:r>
              <w:rPr>
                <w:b/>
                <w:bCs/>
                <w:color w:val="FFFFFF"/>
              </w:rPr>
              <w:t xml:space="preserve">Change made</w:t>
            </w:r>
          </w:p>
        </w:tc>
        <w:tc>
          <w:tcPr>
            <w:tcW w:type="dxa" w:w="1600"/>
            <w:shd w:fill="12123A" w:val="clear"/>
            <w:tcMar>
              <w:top w:type="dxa" w:w="40"/>
              <w:left w:type="dxa" w:w="90"/>
              <w:bottom w:type="dxa" w:w="40"/>
              <w:right w:type="dxa" w:w="90"/>
            </w:tcMar>
          </w:tcPr>
          <w:p>
            <w:r>
              <w:rPr>
                <w:b/>
                <w:bCs/>
                <w:color w:val="FFFFFF"/>
              </w:rPr>
              <w:t xml:space="preserve">Where</w:t>
            </w:r>
          </w:p>
        </w:tc>
      </w:tr>
      <w:tr>
        <w:trPr>
          <w:tblHeader w:val="false"/>
        </w:trPr>
        <w:tc>
          <w:tcPr>
            <w:tcW w:type="dxa" w:w="3400"/>
            <w:tcMar>
              <w:top w:type="dxa" w:w="40"/>
              <w:left w:type="dxa" w:w="90"/>
              <w:bottom w:type="dxa" w:w="40"/>
              <w:right w:type="dxa" w:w="90"/>
            </w:tcMar>
          </w:tcPr>
          <w:p>
            <w:r>
              <w:rPr>
                <w:b w:val="false"/>
                <w:bCs w:val="false"/>
              </w:rPr>
              <w:t xml:space="preserve">Core file-transfer platform is ESDES, not WebMethods; focus solely on ESDES and do not undermine it.</w:t>
            </w:r>
          </w:p>
        </w:tc>
        <w:tc>
          <w:tcPr>
            <w:tcW w:type="dxa" w:w="4026"/>
            <w:tcMar>
              <w:top w:type="dxa" w:w="40"/>
              <w:left w:type="dxa" w:w="90"/>
              <w:bottom w:type="dxa" w:w="40"/>
              <w:right w:type="dxa" w:w="90"/>
            </w:tcMar>
          </w:tcPr>
          <w:p>
            <w:r>
              <w:rPr>
                <w:b w:val="false"/>
                <w:bCs w:val="false"/>
              </w:rPr>
              <w:t xml:space="preserve">Incumbent estate rewritten around ESDES (core, administered, secure/robust/auditable) and SDS (large-volume engine). WebMethods removed from the file-transfer narrative.</w:t>
            </w:r>
          </w:p>
        </w:tc>
        <w:tc>
          <w:tcPr>
            <w:tcW w:type="dxa" w:w="1600"/>
            <w:tcMar>
              <w:top w:type="dxa" w:w="40"/>
              <w:left w:type="dxa" w:w="90"/>
              <w:bottom w:type="dxa" w:w="40"/>
              <w:right w:type="dxa" w:w="90"/>
            </w:tcMar>
          </w:tcPr>
          <w:p>
            <w:r>
              <w:rPr>
                <w:b w:val="false"/>
                <w:bCs w:val="false"/>
              </w:rPr>
              <w:t xml:space="preserve">§5, §10</w:t>
            </w:r>
          </w:p>
        </w:tc>
      </w:tr>
      <w:tr>
        <w:trPr>
          <w:tblHeader w:val="false"/>
        </w:trPr>
        <w:tc>
          <w:tcPr>
            <w:tcW w:type="dxa" w:w="3400"/>
            <w:tcMar>
              <w:top w:type="dxa" w:w="40"/>
              <w:left w:type="dxa" w:w="90"/>
              <w:bottom w:type="dxa" w:w="40"/>
              <w:right w:type="dxa" w:w="90"/>
            </w:tcMar>
          </w:tcPr>
          <w:p>
            <w:r>
              <w:rPr>
                <w:b w:val="false"/>
                <w:bCs w:val="false"/>
              </w:rPr>
              <w:t xml:space="preserve">Boomi MFT complements, does not immediately replace, SDS and ESDES.</w:t>
            </w:r>
          </w:p>
        </w:tc>
        <w:tc>
          <w:tcPr>
            <w:tcW w:type="dxa" w:w="4026"/>
            <w:tcMar>
              <w:top w:type="dxa" w:w="40"/>
              <w:left w:type="dxa" w:w="90"/>
              <w:bottom w:type="dxa" w:w="40"/>
              <w:right w:type="dxa" w:w="90"/>
            </w:tcMar>
          </w:tcPr>
          <w:p>
            <w:r>
              <w:rPr>
                <w:b w:val="false"/>
                <w:bCs w:val="false"/>
              </w:rPr>
              <w:t xml:space="preserve">Positioning restated as complement; no assumption of replacing ESDES/SDS; any migration is a separate evidence-led decision.</w:t>
            </w:r>
          </w:p>
        </w:tc>
        <w:tc>
          <w:tcPr>
            <w:tcW w:type="dxa" w:w="1600"/>
            <w:tcMar>
              <w:top w:type="dxa" w:w="40"/>
              <w:left w:type="dxa" w:w="90"/>
              <w:bottom w:type="dxa" w:w="40"/>
              <w:right w:type="dxa" w:w="90"/>
            </w:tcMar>
          </w:tcPr>
          <w:p>
            <w:r>
              <w:rPr>
                <w:b w:val="false"/>
                <w:bCs w:val="false"/>
              </w:rPr>
              <w:t xml:space="preserve">§3, §5, §10</w:t>
            </w:r>
          </w:p>
        </w:tc>
      </w:tr>
      <w:tr>
        <w:trPr>
          <w:tblHeader w:val="false"/>
        </w:trPr>
        <w:tc>
          <w:tcPr>
            <w:tcW w:type="dxa" w:w="3400"/>
            <w:tcMar>
              <w:top w:type="dxa" w:w="40"/>
              <w:left w:type="dxa" w:w="90"/>
              <w:bottom w:type="dxa" w:w="40"/>
              <w:right w:type="dxa" w:w="90"/>
            </w:tcMar>
          </w:tcPr>
          <w:p>
            <w:r>
              <w:rPr>
                <w:b w:val="false"/>
                <w:bCs w:val="false"/>
              </w:rPr>
              <w:t xml:space="preserve">State the real drivers: end-to-end visibility, large-file support, low-code.</w:t>
            </w:r>
          </w:p>
        </w:tc>
        <w:tc>
          <w:tcPr>
            <w:tcW w:type="dxa" w:w="4026"/>
            <w:tcMar>
              <w:top w:type="dxa" w:w="40"/>
              <w:left w:type="dxa" w:w="90"/>
              <w:bottom w:type="dxa" w:w="40"/>
              <w:right w:type="dxa" w:w="90"/>
            </w:tcMar>
          </w:tcPr>
          <w:p>
            <w:r>
              <w:rPr>
                <w:b w:val="false"/>
                <w:bCs w:val="false"/>
              </w:rPr>
              <w:t xml:space="preserve">Drivers section rewritten to those three plus consolidated governance.</w:t>
            </w:r>
          </w:p>
        </w:tc>
        <w:tc>
          <w:tcPr>
            <w:tcW w:type="dxa" w:w="1600"/>
            <w:tcMar>
              <w:top w:type="dxa" w:w="40"/>
              <w:left w:type="dxa" w:w="90"/>
              <w:bottom w:type="dxa" w:w="40"/>
              <w:right w:type="dxa" w:w="90"/>
            </w:tcMar>
          </w:tcPr>
          <w:p>
            <w:r>
              <w:rPr>
                <w:b w:val="false"/>
                <w:bCs w:val="false"/>
              </w:rPr>
              <w:t xml:space="preserve">§5.1</w:t>
            </w:r>
          </w:p>
        </w:tc>
      </w:tr>
      <w:tr>
        <w:trPr>
          <w:tblHeader w:val="false"/>
        </w:trPr>
        <w:tc>
          <w:tcPr>
            <w:tcW w:type="dxa" w:w="3400"/>
            <w:tcMar>
              <w:top w:type="dxa" w:w="40"/>
              <w:left w:type="dxa" w:w="90"/>
              <w:bottom w:type="dxa" w:w="40"/>
              <w:right w:type="dxa" w:w="90"/>
            </w:tcMar>
          </w:tcPr>
          <w:p>
            <w:r>
              <w:rPr>
                <w:b w:val="false"/>
                <w:bCs w:val="false"/>
              </w:rPr>
              <w:t xml:space="preserve">“Configure over development” is low-code, reusable configuration, not custom coding.</w:t>
            </w:r>
          </w:p>
        </w:tc>
        <w:tc>
          <w:tcPr>
            <w:tcW w:type="dxa" w:w="4026"/>
            <w:tcMar>
              <w:top w:type="dxa" w:w="40"/>
              <w:left w:type="dxa" w:w="90"/>
              <w:bottom w:type="dxa" w:w="40"/>
              <w:right w:type="dxa" w:w="90"/>
            </w:tcMar>
          </w:tcPr>
          <w:p>
            <w:r>
              <w:rPr>
                <w:b w:val="false"/>
                <w:bCs w:val="false"/>
              </w:rPr>
              <w:t xml:space="preserve">Principle restated in those terms and carried through.</w:t>
            </w:r>
          </w:p>
        </w:tc>
        <w:tc>
          <w:tcPr>
            <w:tcW w:type="dxa" w:w="1600"/>
            <w:tcMar>
              <w:top w:type="dxa" w:w="40"/>
              <w:left w:type="dxa" w:w="90"/>
              <w:bottom w:type="dxa" w:w="40"/>
              <w:right w:type="dxa" w:w="90"/>
            </w:tcMar>
          </w:tcPr>
          <w:p>
            <w:r>
              <w:rPr>
                <w:b w:val="false"/>
                <w:bCs w:val="false"/>
              </w:rPr>
              <w:t xml:space="preserve">§3, §8.2</w:t>
            </w:r>
          </w:p>
        </w:tc>
      </w:tr>
      <w:tr>
        <w:trPr>
          <w:tblHeader w:val="false"/>
        </w:trPr>
        <w:tc>
          <w:tcPr>
            <w:tcW w:type="dxa" w:w="3400"/>
            <w:tcMar>
              <w:top w:type="dxa" w:w="40"/>
              <w:left w:type="dxa" w:w="90"/>
              <w:bottom w:type="dxa" w:w="40"/>
              <w:right w:type="dxa" w:w="90"/>
            </w:tcMar>
          </w:tcPr>
          <w:p>
            <w:r>
              <w:rPr>
                <w:b w:val="false"/>
                <w:bCs w:val="false"/>
              </w:rPr>
              <w:t xml:space="preserve">Show runtime agents as brokers and both external and internal (east-west) movement.</w:t>
            </w:r>
          </w:p>
        </w:tc>
        <w:tc>
          <w:tcPr>
            <w:tcW w:type="dxa" w:w="4026"/>
            <w:tcMar>
              <w:top w:type="dxa" w:w="40"/>
              <w:left w:type="dxa" w:w="90"/>
              <w:bottom w:type="dxa" w:w="40"/>
              <w:right w:type="dxa" w:w="90"/>
            </w:tcMar>
          </w:tcPr>
          <w:p>
            <w:r>
              <w:rPr>
                <w:b w:val="false"/>
                <w:bCs w:val="false"/>
              </w:rPr>
              <w:t xml:space="preserve">Added to capabilities and shown on the architecture figure and flow table.</w:t>
            </w:r>
          </w:p>
        </w:tc>
        <w:tc>
          <w:tcPr>
            <w:tcW w:type="dxa" w:w="1600"/>
            <w:tcMar>
              <w:top w:type="dxa" w:w="40"/>
              <w:left w:type="dxa" w:w="90"/>
              <w:bottom w:type="dxa" w:w="40"/>
              <w:right w:type="dxa" w:w="90"/>
            </w:tcMar>
          </w:tcPr>
          <w:p>
            <w:r>
              <w:rPr>
                <w:b w:val="false"/>
                <w:bCs w:val="false"/>
              </w:rPr>
              <w:t xml:space="preserve">§7.1, §8</w:t>
            </w:r>
          </w:p>
        </w:tc>
      </w:tr>
      <w:tr>
        <w:trPr>
          <w:tblHeader w:val="false"/>
        </w:trPr>
        <w:tc>
          <w:tcPr>
            <w:tcW w:type="dxa" w:w="3400"/>
            <w:tcMar>
              <w:top w:type="dxa" w:w="40"/>
              <w:left w:type="dxa" w:w="90"/>
              <w:bottom w:type="dxa" w:w="40"/>
              <w:right w:type="dxa" w:w="90"/>
            </w:tcMar>
          </w:tcPr>
          <w:p>
            <w:r>
              <w:rPr>
                <w:b w:val="false"/>
                <w:bCs w:val="false"/>
              </w:rPr>
              <w:t xml:space="preserve">Show AV placement; note current limitation and the planned runtime AV scanning patch.</w:t>
            </w:r>
          </w:p>
        </w:tc>
        <w:tc>
          <w:tcPr>
            <w:tcW w:type="dxa" w:w="4026"/>
            <w:tcMar>
              <w:top w:type="dxa" w:w="40"/>
              <w:left w:type="dxa" w:w="90"/>
              <w:bottom w:type="dxa" w:w="40"/>
              <w:right w:type="dxa" w:w="90"/>
            </w:tcMar>
          </w:tcPr>
          <w:p>
            <w:r>
              <w:rPr>
                <w:b w:val="false"/>
                <w:bCs w:val="false"/>
              </w:rPr>
              <w:t xml:space="preserve">AV placement marked on the figure; §7 records the ~250 MB cloud limit and the planned runtime-AV enhancement.</w:t>
            </w:r>
          </w:p>
        </w:tc>
        <w:tc>
          <w:tcPr>
            <w:tcW w:type="dxa" w:w="1600"/>
            <w:tcMar>
              <w:top w:type="dxa" w:w="40"/>
              <w:left w:type="dxa" w:w="90"/>
              <w:bottom w:type="dxa" w:w="40"/>
              <w:right w:type="dxa" w:w="90"/>
            </w:tcMar>
          </w:tcPr>
          <w:p>
            <w:r>
              <w:rPr>
                <w:b w:val="false"/>
                <w:bCs w:val="false"/>
              </w:rPr>
              <w:t xml:space="preserve">§7.2, §8</w:t>
            </w:r>
          </w:p>
        </w:tc>
      </w:tr>
      <w:tr>
        <w:trPr>
          <w:tblHeader w:val="false"/>
        </w:trPr>
        <w:tc>
          <w:tcPr>
            <w:tcW w:type="dxa" w:w="3400"/>
            <w:tcMar>
              <w:top w:type="dxa" w:w="40"/>
              <w:left w:type="dxa" w:w="90"/>
              <w:bottom w:type="dxa" w:w="40"/>
              <w:right w:type="dxa" w:w="90"/>
            </w:tcMar>
          </w:tcPr>
          <w:p>
            <w:r>
              <w:rPr>
                <w:b w:val="false"/>
                <w:bCs w:val="false"/>
              </w:rPr>
              <w:t xml:space="preserve">Clearer diagrams: numbered flows, triggers and AV placement.</w:t>
            </w:r>
          </w:p>
        </w:tc>
        <w:tc>
          <w:tcPr>
            <w:tcW w:type="dxa" w:w="4026"/>
            <w:tcMar>
              <w:top w:type="dxa" w:w="40"/>
              <w:left w:type="dxa" w:w="90"/>
              <w:bottom w:type="dxa" w:w="40"/>
              <w:right w:type="dxa" w:w="90"/>
            </w:tcMar>
          </w:tcPr>
          <w:p>
            <w:r>
              <w:rPr>
                <w:b w:val="false"/>
                <w:bCs w:val="false"/>
              </w:rPr>
              <w:t xml:space="preserve">Architecture figure re-cut with numbered flows 1–8, trigger markers and AV badges, plus a numbered flow-step table.</w:t>
            </w:r>
          </w:p>
        </w:tc>
        <w:tc>
          <w:tcPr>
            <w:tcW w:type="dxa" w:w="1600"/>
            <w:tcMar>
              <w:top w:type="dxa" w:w="40"/>
              <w:left w:type="dxa" w:w="90"/>
              <w:bottom w:type="dxa" w:w="40"/>
              <w:right w:type="dxa" w:w="90"/>
            </w:tcMar>
          </w:tcPr>
          <w:p>
            <w:r>
              <w:rPr>
                <w:b w:val="false"/>
                <w:bCs w:val="false"/>
              </w:rPr>
              <w:t xml:space="preserve">§8</w:t>
            </w:r>
          </w:p>
        </w:tc>
      </w:tr>
      <w:tr>
        <w:trPr>
          <w:tblHeader w:val="false"/>
        </w:trPr>
        <w:tc>
          <w:tcPr>
            <w:tcW w:type="dxa" w:w="3400"/>
            <w:tcMar>
              <w:top w:type="dxa" w:w="40"/>
              <w:left w:type="dxa" w:w="90"/>
              <w:bottom w:type="dxa" w:w="40"/>
              <w:right w:type="dxa" w:w="90"/>
            </w:tcMar>
          </w:tcPr>
          <w:p>
            <w:r>
              <w:rPr>
                <w:b w:val="false"/>
                <w:bCs w:val="false"/>
              </w:rPr>
              <w:t xml:space="preserve">Drop confusing “control plane” / “data plane” terminology.</w:t>
            </w:r>
          </w:p>
        </w:tc>
        <w:tc>
          <w:tcPr>
            <w:tcW w:type="dxa" w:w="4026"/>
            <w:tcMar>
              <w:top w:type="dxa" w:w="40"/>
              <w:left w:type="dxa" w:w="90"/>
              <w:bottom w:type="dxa" w:w="40"/>
              <w:right w:type="dxa" w:w="90"/>
            </w:tcMar>
          </w:tcPr>
          <w:p>
            <w:r>
              <w:rPr>
                <w:b w:val="false"/>
                <w:bCs w:val="false"/>
              </w:rPr>
              <w:t xml:space="preserve">Replaced with plain MFT terms (Boomi cloud service; trigger &amp; status path; file-transfer path).</w:t>
            </w:r>
          </w:p>
        </w:tc>
        <w:tc>
          <w:tcPr>
            <w:tcW w:type="dxa" w:w="1600"/>
            <w:tcMar>
              <w:top w:type="dxa" w:w="40"/>
              <w:left w:type="dxa" w:w="90"/>
              <w:bottom w:type="dxa" w:w="40"/>
              <w:right w:type="dxa" w:w="90"/>
            </w:tcMar>
          </w:tcPr>
          <w:p>
            <w:r>
              <w:rPr>
                <w:b w:val="false"/>
                <w:bCs w:val="false"/>
              </w:rPr>
              <w:t xml:space="preserve">throughout</w:t>
            </w:r>
          </w:p>
        </w:tc>
      </w:tr>
      <w:tr>
        <w:trPr>
          <w:tblHeader w:val="false"/>
        </w:trPr>
        <w:tc>
          <w:tcPr>
            <w:tcW w:type="dxa" w:w="3400"/>
            <w:tcMar>
              <w:top w:type="dxa" w:w="40"/>
              <w:left w:type="dxa" w:w="90"/>
              <w:bottom w:type="dxa" w:w="40"/>
              <w:right w:type="dxa" w:w="90"/>
            </w:tcMar>
          </w:tcPr>
          <w:p>
            <w:r>
              <w:rPr>
                <w:b w:val="false"/>
                <w:bCs w:val="false"/>
              </w:rPr>
              <w:t xml:space="preserve">Rename “register” to “catalogue”.</w:t>
            </w:r>
          </w:p>
        </w:tc>
        <w:tc>
          <w:tcPr>
            <w:tcW w:type="dxa" w:w="4026"/>
            <w:tcMar>
              <w:top w:type="dxa" w:w="40"/>
              <w:left w:type="dxa" w:w="90"/>
              <w:bottom w:type="dxa" w:w="40"/>
              <w:right w:type="dxa" w:w="90"/>
            </w:tcMar>
          </w:tcPr>
          <w:p>
            <w:r>
              <w:rPr>
                <w:b w:val="false"/>
                <w:bCs w:val="false"/>
              </w:rPr>
              <w:t xml:space="preserve">Config/routing “catalogue” and the capability &amp; gap catalogue adopted; file/content alignment logged as an action.</w:t>
            </w:r>
          </w:p>
        </w:tc>
        <w:tc>
          <w:tcPr>
            <w:tcW w:type="dxa" w:w="1600"/>
            <w:tcMar>
              <w:top w:type="dxa" w:w="40"/>
              <w:left w:type="dxa" w:w="90"/>
              <w:bottom w:type="dxa" w:w="40"/>
              <w:right w:type="dxa" w:w="90"/>
            </w:tcMar>
          </w:tcPr>
          <w:p>
            <w:r>
              <w:rPr>
                <w:b w:val="false"/>
                <w:bCs w:val="false"/>
              </w:rPr>
              <w:t xml:space="preserve">§8.2, §11, OQ</w:t>
            </w:r>
          </w:p>
        </w:tc>
      </w:tr>
      <w:tr>
        <w:trPr>
          <w:tblHeader w:val="false"/>
        </w:trPr>
        <w:tc>
          <w:tcPr>
            <w:tcW w:type="dxa" w:w="3400"/>
            <w:tcMar>
              <w:top w:type="dxa" w:w="40"/>
              <w:left w:type="dxa" w:w="90"/>
              <w:bottom w:type="dxa" w:w="40"/>
              <w:right w:type="dxa" w:w="90"/>
            </w:tcMar>
          </w:tcPr>
          <w:p>
            <w:r>
              <w:rPr>
                <w:b w:val="false"/>
                <w:bCs w:val="false"/>
              </w:rPr>
              <w:t xml:space="preserve">Use “API gateway”, not “CAM gateway”.</w:t>
            </w:r>
          </w:p>
        </w:tc>
        <w:tc>
          <w:tcPr>
            <w:tcW w:type="dxa" w:w="4026"/>
            <w:tcMar>
              <w:top w:type="dxa" w:w="40"/>
              <w:left w:type="dxa" w:w="90"/>
              <w:bottom w:type="dxa" w:w="40"/>
              <w:right w:type="dxa" w:w="90"/>
            </w:tcMar>
          </w:tcPr>
          <w:p>
            <w:r>
              <w:rPr>
                <w:b w:val="false"/>
                <w:bCs w:val="false"/>
              </w:rPr>
              <w:t xml:space="preserve">All CAM references replaced with API gateway (Kong).</w:t>
            </w:r>
          </w:p>
        </w:tc>
        <w:tc>
          <w:tcPr>
            <w:tcW w:type="dxa" w:w="1600"/>
            <w:tcMar>
              <w:top w:type="dxa" w:w="40"/>
              <w:left w:type="dxa" w:w="90"/>
              <w:bottom w:type="dxa" w:w="40"/>
              <w:right w:type="dxa" w:w="90"/>
            </w:tcMar>
          </w:tcPr>
          <w:p>
            <w:r>
              <w:rPr>
                <w:b w:val="false"/>
                <w:bCs w:val="false"/>
              </w:rPr>
              <w:t xml:space="preserve">§8.1, §8.5</w:t>
            </w:r>
          </w:p>
        </w:tc>
      </w:tr>
      <w:tr>
        <w:trPr>
          <w:tblHeader w:val="false"/>
        </w:trPr>
        <w:tc>
          <w:tcPr>
            <w:tcW w:type="dxa" w:w="3400"/>
            <w:tcMar>
              <w:top w:type="dxa" w:w="40"/>
              <w:left w:type="dxa" w:w="90"/>
              <w:bottom w:type="dxa" w:w="40"/>
              <w:right w:type="dxa" w:w="90"/>
            </w:tcMar>
          </w:tcPr>
          <w:p>
            <w:r>
              <w:rPr>
                <w:b w:val="false"/>
                <w:bCs w:val="false"/>
              </w:rPr>
              <w:t xml:space="preserve">Add a dedicated code-promotion strategy section.</w:t>
            </w:r>
          </w:p>
        </w:tc>
        <w:tc>
          <w:tcPr>
            <w:tcW w:type="dxa" w:w="4026"/>
            <w:tcMar>
              <w:top w:type="dxa" w:w="40"/>
              <w:left w:type="dxa" w:w="90"/>
              <w:bottom w:type="dxa" w:w="40"/>
              <w:right w:type="dxa" w:w="90"/>
            </w:tcMar>
          </w:tcPr>
          <w:p>
            <w:r>
              <w:rPr>
                <w:b w:val="false"/>
                <w:bCs w:val="false"/>
              </w:rPr>
              <w:t xml:space="preserve">New section: how configuration is stored, versioned and promoted dev→test→prod through approval workflows.</w:t>
            </w:r>
          </w:p>
        </w:tc>
        <w:tc>
          <w:tcPr>
            <w:tcW w:type="dxa" w:w="1600"/>
            <w:tcMar>
              <w:top w:type="dxa" w:w="40"/>
              <w:left w:type="dxa" w:w="90"/>
              <w:bottom w:type="dxa" w:w="40"/>
              <w:right w:type="dxa" w:w="90"/>
            </w:tcMar>
          </w:tcPr>
          <w:p>
            <w:r>
              <w:rPr>
                <w:b w:val="false"/>
                <w:bCs w:val="false"/>
              </w:rPr>
              <w:t xml:space="preserve">§9</w:t>
            </w:r>
          </w:p>
        </w:tc>
      </w:tr>
      <w:tr>
        <w:trPr>
          <w:tblHeader w:val="false"/>
        </w:trPr>
        <w:tc>
          <w:tcPr>
            <w:tcW w:type="dxa" w:w="3400"/>
            <w:tcMar>
              <w:top w:type="dxa" w:w="40"/>
              <w:left w:type="dxa" w:w="90"/>
              <w:bottom w:type="dxa" w:w="40"/>
              <w:right w:type="dxa" w:w="90"/>
            </w:tcMar>
          </w:tcPr>
          <w:p>
            <w:r>
              <w:rPr>
                <w:b w:val="false"/>
                <w:bCs w:val="false"/>
              </w:rPr>
              <w:t xml:space="preserve">Over-reliant on generic content; qualify inconsistent security claims.</w:t>
            </w:r>
          </w:p>
        </w:tc>
        <w:tc>
          <w:tcPr>
            <w:tcW w:type="dxa" w:w="4026"/>
            <w:tcMar>
              <w:top w:type="dxa" w:w="40"/>
              <w:left w:type="dxa" w:w="90"/>
              <w:bottom w:type="dxa" w:w="40"/>
              <w:right w:type="dxa" w:w="90"/>
            </w:tcMar>
          </w:tcPr>
          <w:p>
            <w:r>
              <w:rPr>
                <w:b w:val="false"/>
                <w:bCs w:val="false"/>
              </w:rPr>
              <w:t xml:space="preserve">Vendor security claims (zero-trust, SOC 2) marked as vendor-stated and to validate.</w:t>
            </w:r>
          </w:p>
        </w:tc>
        <w:tc>
          <w:tcPr>
            <w:tcW w:type="dxa" w:w="1600"/>
            <w:tcMar>
              <w:top w:type="dxa" w:w="40"/>
              <w:left w:type="dxa" w:w="90"/>
              <w:bottom w:type="dxa" w:w="40"/>
              <w:right w:type="dxa" w:w="90"/>
            </w:tcMar>
          </w:tcPr>
          <w:p>
            <w:r>
              <w:rPr>
                <w:b w:val="false"/>
                <w:bCs w:val="false"/>
              </w:rPr>
              <w:t xml:space="preserve">§7.2, §7.5</w:t>
            </w:r>
          </w:p>
        </w:tc>
      </w:tr>
      <w:tr>
        <w:trPr>
          <w:tblHeader w:val="false"/>
        </w:trPr>
        <w:tc>
          <w:tcPr>
            <w:tcW w:type="dxa" w:w="3400"/>
            <w:tcMar>
              <w:top w:type="dxa" w:w="40"/>
              <w:left w:type="dxa" w:w="90"/>
              <w:bottom w:type="dxa" w:w="40"/>
              <w:right w:type="dxa" w:w="90"/>
            </w:tcMar>
          </w:tcPr>
          <w:p>
            <w:r>
              <w:rPr>
                <w:b w:val="false"/>
                <w:bCs w:val="false"/>
              </w:rPr>
              <w:t xml:space="preserve">Peer review before senior review; collaborate with Jatin, Patrick, Shijit, Sridhar.</w:t>
            </w:r>
          </w:p>
        </w:tc>
        <w:tc>
          <w:tcPr>
            <w:tcW w:type="dxa" w:w="4026"/>
            <w:tcMar>
              <w:top w:type="dxa" w:w="40"/>
              <w:left w:type="dxa" w:w="90"/>
              <w:bottom w:type="dxa" w:w="40"/>
              <w:right w:type="dxa" w:w="90"/>
            </w:tcMar>
          </w:tcPr>
          <w:p>
            <w:r>
              <w:rPr>
                <w:b w:val="false"/>
                <w:bCs w:val="false"/>
              </w:rPr>
              <w:t xml:space="preserve">Peer-review step and named collaborators added to document control; revised version due Tue 4 Aug.</w:t>
            </w:r>
          </w:p>
        </w:tc>
        <w:tc>
          <w:tcPr>
            <w:tcW w:type="dxa" w:w="1600"/>
            <w:tcMar>
              <w:top w:type="dxa" w:w="40"/>
              <w:left w:type="dxa" w:w="90"/>
              <w:bottom w:type="dxa" w:w="40"/>
              <w:right w:type="dxa" w:w="90"/>
            </w:tcMar>
          </w:tcPr>
          <w:p>
            <w:r>
              <w:rPr>
                <w:b w:val="false"/>
                <w:bCs w:val="false"/>
              </w:rPr>
              <w:t xml:space="preserve">§1</w:t>
            </w:r>
          </w:p>
        </w:tc>
      </w:tr>
    </w:tbl>
    <w:p>
      <w:pPr>
        <w:pStyle w:val="Heading1"/>
        <w:spacing w:after="120" w:before="260"/>
      </w:pPr>
      <w:r>
        <w:rPr>
          <w:b/>
          <w:bCs/>
          <w:color w:val="12123A"/>
        </w:rPr>
        <w:t xml:space="preserve">3  Executive summary</w:t>
      </w:r>
    </w:p>
    <w:p>
      <w:pPr>
        <w:spacing w:after="100"/>
      </w:pPr>
      <w:r>
        <w:t xml:space="preserve">Boomi acquired Thru, Inc. in May 2025 to embed enterprise-grade Managed File Transfer (MFT) natively within the Boomi Enterprise Platform, so that API-based, application-based and file-based movement are managed and governed on one platform. This Solution Design Document (SDD) sets out how Boomi native MFT delivers governed, secure, auditable and config-driven file transfer for the HMRC integration estate.</w:t>
      </w:r>
    </w:p>
    <w:p>
      <w:pPr>
        <w:spacing w:after="100"/>
      </w:pPr>
      <w:r>
        <w:t xml:space="preserve">Boomi MFT complements the department’s existing file-transfer estate — ESDES (the core, administered file-transfer solution) and SDS (the custom-coded engine that moves large file volumes). It does not replace them immediately. It is adopted where its platform strengths apply: end-to-end visibility of every transfer, efficient large-file support, and a low-code, configuration-driven delivery model that removes bespoke build.</w:t>
      </w:r>
    </w:p>
    <w:p>
      <w:pPr>
        <w:spacing w:after="100"/>
      </w:pPr>
      <w:r>
        <w:t xml:space="preserve">The design is anchored to one recommended platform principle: “config over construction” — a low-code, reusable configuration approach rather than custom development. A single generic MFT engine process handles every transfer; each approved interface becomes a configuration row in a routing catalogue, never a new Boomi component. This keeps the estate small, uniform, testable and cheap to govern as the number of onboarded transfers grows.</w:t>
      </w:r>
    </w:p>
    <w:tbl>
      <w:tblPr>
        <w:tblW w:type="dxa" w:w="9026"/>
        <w:tblBorders>
          <w:top w:val="single" w:color="2e6ca4" w:sz="2"/>
          <w:left w:val="single" w:color="2e6ca4" w:sz="18"/>
          <w:bottom w:val="single" w:color="2e6ca4" w:sz="2"/>
          <w:right w:val="single" w:color="2e6ca4" w:sz="2"/>
          <w:insideH w:val="none"/>
          <w:insideV w:val="none"/>
        </w:tblBorders>
      </w:tblPr>
      <w:tblGrid>
        <w:gridCol w:w="9026"/>
      </w:tblGrid>
      <w:tr>
        <w:tc>
          <w:tcPr>
            <w:tcW w:type="dxa" w:w="9026"/>
            <w:shd w:fill="eaf1f8" w:val="clear"/>
            <w:tcMar>
              <w:top w:type="dxa" w:w="100"/>
              <w:left w:type="dxa" w:w="150"/>
              <w:bottom w:type="dxa" w:w="100"/>
              <w:right w:type="dxa" w:w="150"/>
            </w:tcMar>
          </w:tcPr>
          <w:p>
            <w:pPr>
              <w:spacing w:after="60"/>
            </w:pPr>
            <w:r>
              <w:rPr>
                <w:b/>
                <w:bCs/>
                <w:color w:val="2e6ca4"/>
              </w:rPr>
              <w:t xml:space="preserve">Recommendation to the Design Authority</w:t>
            </w:r>
          </w:p>
          <w:p>
            <w:pPr>
              <w:spacing w:after="40"/>
            </w:pPr>
            <w:r>
              <w:t xml:space="preserve">Adopt Boomi native MFT (Thru) as the strategic MFT capability for new and cloud/SaaS-facing file movement, deployed as a hybrid topology (Boomi cloud service + customer-managed MFT runtimes so OFFICIAL payloads stay within the trusted boundary), complementing ESDES and SDS rather than displacing them.</w:t>
            </w:r>
          </w:p>
          <w:p>
            <w:pPr>
              <w:spacing w:after="40"/>
            </w:pPr>
            <w:r>
              <w:t xml:space="preserve">Proceed on the basis that the design decisions (Design decisions section) are accepted and the open questions are assigned named owners before build — most materially: data residency/assurance for OFFICIAL, long-term audit retention beyond native defaults, the absence of a native CI/CD pipeline for MFT configuration, and the lack of a native path to source MFT credentials from the enterprise secrets manager.</w:t>
            </w:r>
          </w:p>
        </w:tc>
      </w:tr>
    </w:tbl>
    <w:p>
      <w:pPr>
        <w:pStyle w:val="Heading1"/>
        <w:spacing w:after="120" w:before="260"/>
      </w:pPr>
      <w:r>
        <w:rPr>
          <w:b/>
          <w:bCs/>
          <w:color w:val="12123A"/>
        </w:rPr>
        <w:t xml:space="preserve">4  Purpose, scope and audience</w:t>
      </w:r>
    </w:p>
    <w:p>
      <w:pPr>
        <w:pStyle w:val="Heading2"/>
        <w:spacing w:after="80" w:before="160"/>
      </w:pPr>
      <w:r>
        <w:rPr>
          <w:b/>
          <w:bCs/>
          <w:color w:val="12123A"/>
        </w:rPr>
        <w:t xml:space="preserve">4.1  Purpose</w:t>
      </w:r>
    </w:p>
    <w:p>
      <w:pPr>
        <w:spacing w:after="100"/>
      </w:pPr>
      <w:r>
        <w:t xml:space="preserve">To provide the design baseline for MFT on the Boomi platform sufficient for Design Authority sign-off: the platform capabilities relied upon, the target architecture, how it integrates with the HMRC estate, how configuration is promoted, the non-functional posture, and an honest assessment of platform gaps and the decisions they drive.</w:t>
      </w:r>
    </w:p>
    <w:p>
      <w:pPr>
        <w:pStyle w:val="Heading2"/>
        <w:spacing w:after="80" w:before="160"/>
      </w:pPr>
      <w:r>
        <w:rPr>
          <w:b/>
          <w:bCs/>
          <w:color w:val="12123A"/>
        </w:rPr>
        <w:t xml:space="preserve">4.2  In scope</w:t>
      </w:r>
    </w:p>
    <w:p>
      <w:pPr>
        <w:pStyle w:val="ListParagraph"/>
        <w:numPr>
          <w:ilvl w:val="0"/>
          <w:numId w:val="1"/>
        </w:numPr>
        <w:spacing w:after="40"/>
      </w:pPr>
      <w:r>
        <w:t xml:space="preserve">Boomi native MFT (Thru) capabilities relied upon by the estate.</w:t>
      </w:r>
    </w:p>
    <w:p>
      <w:pPr>
        <w:pStyle w:val="ListParagraph"/>
        <w:numPr>
          <w:ilvl w:val="0"/>
          <w:numId w:val="1"/>
        </w:numPr>
        <w:spacing w:after="40"/>
      </w:pPr>
      <w:r>
        <w:t xml:space="preserve">Logical and deployment architecture, including the config-driven generic engine and runtime agents as brokers.</w:t>
      </w:r>
    </w:p>
    <w:p>
      <w:pPr>
        <w:pStyle w:val="ListParagraph"/>
        <w:numPr>
          <w:ilvl w:val="0"/>
          <w:numId w:val="1"/>
        </w:numPr>
        <w:spacing w:after="40"/>
      </w:pPr>
      <w:r>
        <w:t xml:space="preserve">Both external (north-south) partner exchange and internal (east-west) movement between HMRC systems.</w:t>
      </w:r>
    </w:p>
    <w:p>
      <w:pPr>
        <w:pStyle w:val="ListParagraph"/>
        <w:numPr>
          <w:ilvl w:val="0"/>
          <w:numId w:val="1"/>
        </w:numPr>
        <w:spacing w:after="40"/>
      </w:pPr>
      <w:r>
        <w:t xml:space="preserve">Integration with MDTP, the SaaS systems (S4H, CF/MSD, Pega, CDS) and the HoD applications across AWS, Azure, Crown Hosting and Fujitsu; coexistence with the incumbent ESDES and SDS.</w:t>
      </w:r>
    </w:p>
    <w:p>
      <w:pPr>
        <w:pStyle w:val="ListParagraph"/>
        <w:numPr>
          <w:ilvl w:val="0"/>
          <w:numId w:val="1"/>
        </w:numPr>
        <w:spacing w:after="40"/>
      </w:pPr>
      <w:r>
        <w:t xml:space="preserve">Configuration promotion (dev→test→prod), security, non-functional design and operability.</w:t>
      </w:r>
    </w:p>
    <w:p>
      <w:pPr>
        <w:pStyle w:val="ListParagraph"/>
        <w:numPr>
          <w:ilvl w:val="0"/>
          <w:numId w:val="1"/>
        </w:numPr>
        <w:spacing w:after="40"/>
      </w:pPr>
      <w:r>
        <w:t xml:space="preserve">Capability inventory and gap analysis with mitigations.</w:t>
      </w:r>
    </w:p>
    <w:p>
      <w:pPr>
        <w:pStyle w:val="Heading2"/>
        <w:spacing w:after="80" w:before="160"/>
      </w:pPr>
      <w:r>
        <w:rPr>
          <w:b/>
          <w:bCs/>
          <w:color w:val="12123A"/>
        </w:rPr>
        <w:t xml:space="preserve">4.3  Out of scope</w:t>
      </w:r>
    </w:p>
    <w:p>
      <w:pPr>
        <w:pStyle w:val="ListParagraph"/>
        <w:numPr>
          <w:ilvl w:val="0"/>
          <w:numId w:val="1"/>
        </w:numPr>
        <w:spacing w:after="40"/>
      </w:pPr>
      <w:r>
        <w:t xml:space="preserve">Per-interface onboarding detail (each transfer is configuration, not design).</w:t>
      </w:r>
    </w:p>
    <w:p>
      <w:pPr>
        <w:pStyle w:val="ListParagraph"/>
        <w:numPr>
          <w:ilvl w:val="0"/>
          <w:numId w:val="1"/>
        </w:numPr>
        <w:spacing w:after="40"/>
      </w:pPr>
      <w:r>
        <w:t xml:space="preserve">API Management and event-streaming capabilities (separate Boomi platform designs).</w:t>
      </w:r>
    </w:p>
    <w:p>
      <w:pPr>
        <w:pStyle w:val="ListParagraph"/>
        <w:numPr>
          <w:ilvl w:val="0"/>
          <w:numId w:val="1"/>
        </w:numPr>
        <w:spacing w:after="40"/>
      </w:pPr>
      <w:r>
        <w:t xml:space="preserve">WebMethods integration/orchestration coexistence (covered in the separate integration design; WebMethods is not the department’s file-transfer platform).</w:t>
      </w:r>
    </w:p>
    <w:p>
      <w:pPr>
        <w:pStyle w:val="ListParagraph"/>
        <w:numPr>
          <w:ilvl w:val="0"/>
          <w:numId w:val="1"/>
        </w:numPr>
        <w:spacing w:after="40"/>
      </w:pPr>
      <w:r>
        <w:t xml:space="preserve">Commercial, licensing and contractual terms.</w:t>
      </w:r>
    </w:p>
    <w:p>
      <w:pPr>
        <w:pStyle w:val="ListParagraph"/>
        <w:numPr>
          <w:ilvl w:val="0"/>
          <w:numId w:val="1"/>
        </w:numPr>
        <w:spacing w:after="40"/>
      </w:pPr>
      <w:r>
        <w:t xml:space="preserve">Detailed network/firewall low-level design (referenced as a dependency).</w:t>
      </w:r>
    </w:p>
    <w:p>
      <w:pPr>
        <w:pStyle w:val="Heading2"/>
        <w:spacing w:after="80" w:before="160"/>
      </w:pPr>
      <w:r>
        <w:rPr>
          <w:b/>
          <w:bCs/>
          <w:color w:val="12123A"/>
        </w:rPr>
        <w:t xml:space="preserve">4.4  Audience</w:t>
      </w:r>
    </w:p>
    <w:p>
      <w:pPr>
        <w:spacing w:after="100"/>
      </w:pPr>
      <w:r>
        <w:t xml:space="preserve">Design Authority, Security Architecture, Integration Architecture, and Platform Operations.</w:t>
      </w:r>
    </w:p>
    <w:p>
      <w:pPr>
        <w:pStyle w:val="Heading1"/>
        <w:spacing w:after="120" w:before="260"/>
      </w:pPr>
      <w:r>
        <w:rPr>
          <w:b/>
          <w:bCs/>
          <w:color w:val="12123A"/>
        </w:rPr>
        <w:t xml:space="preserve">5  Background and context</w:t>
      </w:r>
    </w:p>
    <w:p>
      <w:pPr>
        <w:spacing w:after="100"/>
      </w:pPr>
      <w:r>
        <w:t xml:space="preserve">The department moves files between external consumers/OGDs, the digital tax platform (MDTP), the iPaaS SaaS systems (S4H, CF/MSD, Pega, CDS), and the Heads-of-Duty (HoD) applications hosted across AWS, Azure, Crown Hosting and Fujitsu. Two incumbent systems carry file transfer today and remain in place:</w:t>
      </w:r>
    </w:p>
    <w:p>
      <w:pPr>
        <w:pStyle w:val="ListParagraph"/>
        <w:numPr>
          <w:ilvl w:val="0"/>
          <w:numId w:val="1"/>
        </w:numPr>
        <w:spacing w:after="40"/>
      </w:pPr>
      <w:r>
        <w:t xml:space="preserve">ESDES — the core file-transfer solution, with administration capabilities. It is secure, robust and auditable, and is not undermined or displaced by this design.</w:t>
      </w:r>
    </w:p>
    <w:p>
      <w:pPr>
        <w:pStyle w:val="ListParagraph"/>
        <w:numPr>
          <w:ilvl w:val="0"/>
          <w:numId w:val="1"/>
        </w:numPr>
        <w:spacing w:after="40"/>
      </w:pPr>
      <w:r>
        <w:t xml:space="preserve">SDS — the custom-coded engine that handles large volumes of files.</w:t>
      </w:r>
    </w:p>
    <w:p>
      <w:pPr>
        <w:spacing w:after="100"/>
      </w:pPr>
      <w:r>
        <w:t xml:space="preserve">Boomi native MFT is introduced alongside ESDES and SDS and complements them. New and cloud/SaaS-facing file movements are delivered on Boomi MFT as governed configuration, while ESDES and SDS continue to run the flows they own. Any future migration of specific flows is a separate, evidence-led decision, not an assumption of this SDD.</w:t>
      </w: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5e8" w:val="clear"/>
            <w:tcMar>
              <w:top w:type="dxa" w:w="100"/>
              <w:left w:type="dxa" w:w="150"/>
              <w:bottom w:type="dxa" w:w="100"/>
              <w:right w:type="dxa" w:w="150"/>
            </w:tcMar>
          </w:tcPr>
          <w:p>
            <w:pPr>
              <w:spacing w:after="60"/>
            </w:pPr>
            <w:r>
              <w:rPr>
                <w:b/>
                <w:bCs/>
                <w:color w:val="8a5a00"/>
              </w:rPr>
              <w:t xml:space="preserve">Review item — confirm incumbent naming</w:t>
            </w:r>
          </w:p>
          <w:p>
            <w:pPr>
              <w:spacing w:after="40"/>
            </w:pPr>
            <w:r>
              <w:t xml:space="preserve">The exact system names and acronym expansions for ESDES and SDS are used here as given in the 30 July 2026 review and are to be confirmed with a named owner before sign-off (see Open questions).</w:t>
            </w:r>
          </w:p>
        </w:tc>
      </w:tr>
    </w:tbl>
    <w:p>
      <w:pPr>
        <w:pStyle w:val="Heading2"/>
        <w:spacing w:after="80" w:before="160"/>
      </w:pPr>
      <w:r>
        <w:rPr>
          <w:b/>
          <w:bCs/>
          <w:color w:val="12123A"/>
        </w:rPr>
        <w:t xml:space="preserve">5.1  Drivers</w:t>
      </w:r>
    </w:p>
    <w:p>
      <w:pPr>
        <w:pStyle w:val="ListParagraph"/>
        <w:numPr>
          <w:ilvl w:val="0"/>
          <w:numId w:val="1"/>
        </w:numPr>
        <w:spacing w:after="40"/>
      </w:pPr>
      <w:r>
        <w:t xml:space="preserve">End-to-end visibility: a single, trackable audit record for every transfer, across the whole estate.</w:t>
      </w:r>
    </w:p>
    <w:p>
      <w:pPr>
        <w:pStyle w:val="ListParagraph"/>
        <w:numPr>
          <w:ilvl w:val="0"/>
          <w:numId w:val="1"/>
        </w:numPr>
        <w:spacing w:after="40"/>
      </w:pPr>
      <w:r>
        <w:t xml:space="preserve">Large-file support: efficient handling of large tax/customs payloads and archives.</w:t>
      </w:r>
    </w:p>
    <w:p>
      <w:pPr>
        <w:pStyle w:val="ListParagraph"/>
        <w:numPr>
          <w:ilvl w:val="0"/>
          <w:numId w:val="1"/>
        </w:numPr>
        <w:spacing w:after="40"/>
      </w:pPr>
      <w:r>
        <w:t xml:space="preserve">Low-code / configuration: each interface is configuration, not bespoke code, reducing build and assurance cost.</w:t>
      </w:r>
    </w:p>
    <w:p>
      <w:pPr>
        <w:pStyle w:val="ListParagraph"/>
        <w:numPr>
          <w:ilvl w:val="0"/>
          <w:numId w:val="1"/>
        </w:numPr>
        <w:spacing w:after="40"/>
      </w:pPr>
      <w:r>
        <w:t xml:space="preserve">Consolidated governance: consistent security controls and one place to monitor and audit new file movement.</w:t>
      </w:r>
    </w:p>
    <w:p>
      <w:pPr>
        <w:pStyle w:val="Heading2"/>
        <w:spacing w:after="80" w:before="160"/>
      </w:pPr>
      <w:r>
        <w:rPr>
          <w:b/>
          <w:bCs/>
          <w:color w:val="12123A"/>
        </w:rPr>
        <w:t xml:space="preserve">5.2  Estate touchpoints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2123A" w:val="clear"/>
            <w:tcMar>
              <w:top w:type="dxa" w:w="40"/>
              <w:left w:type="dxa" w:w="90"/>
              <w:bottom w:type="dxa" w:w="40"/>
              <w:right w:type="dxa" w:w="90"/>
            </w:tcMar>
          </w:tcPr>
          <w:p>
            <w:r>
              <w:rPr>
                <w:b/>
                <w:bCs/>
                <w:color w:val="FFFFFF"/>
              </w:rPr>
              <w:t xml:space="preserve">System / host</w:t>
            </w:r>
          </w:p>
        </w:tc>
        <w:tc>
          <w:tcPr>
            <w:tcW w:type="dxa" w:w="6026"/>
            <w:shd w:fill="12123A" w:val="clear"/>
            <w:tcMar>
              <w:top w:type="dxa" w:w="40"/>
              <w:left w:type="dxa" w:w="90"/>
              <w:bottom w:type="dxa" w:w="40"/>
              <w:right w:type="dxa" w:w="90"/>
            </w:tcMar>
          </w:tcPr>
          <w:p>
            <w:r>
              <w:rPr>
                <w:b/>
                <w:bCs/>
                <w:color w:val="FFFFFF"/>
              </w:rPr>
              <w:t xml:space="preserve">Relationship to MFT</w:t>
            </w:r>
          </w:p>
        </w:tc>
      </w:tr>
      <w:tr>
        <w:trPr>
          <w:tblHeader w:val="false"/>
        </w:trPr>
        <w:tc>
          <w:tcPr>
            <w:tcW w:type="dxa" w:w="3000"/>
            <w:tcMar>
              <w:top w:type="dxa" w:w="40"/>
              <w:left w:type="dxa" w:w="90"/>
              <w:bottom w:type="dxa" w:w="40"/>
              <w:right w:type="dxa" w:w="90"/>
            </w:tcMar>
          </w:tcPr>
          <w:p>
            <w:r>
              <w:rPr>
                <w:b/>
                <w:bCs/>
              </w:rPr>
              <w:t xml:space="preserve">ESDES</w:t>
            </w:r>
          </w:p>
        </w:tc>
        <w:tc>
          <w:tcPr>
            <w:tcW w:type="dxa" w:w="6026"/>
            <w:tcMar>
              <w:top w:type="dxa" w:w="40"/>
              <w:left w:type="dxa" w:w="90"/>
              <w:bottom w:type="dxa" w:w="40"/>
              <w:right w:type="dxa" w:w="90"/>
            </w:tcMar>
          </w:tcPr>
          <w:p>
            <w:r>
              <w:rPr>
                <w:b w:val="false"/>
                <w:bCs w:val="false"/>
              </w:rPr>
              <w:t xml:space="preserve">Incumbent core file-transfer solution with admin capabilities — secure, robust, auditable. Remains in place; Boomi MFT complements it.</w:t>
            </w:r>
          </w:p>
        </w:tc>
      </w:tr>
      <w:tr>
        <w:trPr>
          <w:tblHeader w:val="false"/>
        </w:trPr>
        <w:tc>
          <w:tcPr>
            <w:tcW w:type="dxa" w:w="3000"/>
            <w:tcMar>
              <w:top w:type="dxa" w:w="40"/>
              <w:left w:type="dxa" w:w="90"/>
              <w:bottom w:type="dxa" w:w="40"/>
              <w:right w:type="dxa" w:w="90"/>
            </w:tcMar>
          </w:tcPr>
          <w:p>
            <w:r>
              <w:rPr>
                <w:b/>
                <w:bCs/>
              </w:rPr>
              <w:t xml:space="preserve">SDS</w:t>
            </w:r>
          </w:p>
        </w:tc>
        <w:tc>
          <w:tcPr>
            <w:tcW w:type="dxa" w:w="6026"/>
            <w:tcMar>
              <w:top w:type="dxa" w:w="40"/>
              <w:left w:type="dxa" w:w="90"/>
              <w:bottom w:type="dxa" w:w="40"/>
              <w:right w:type="dxa" w:w="90"/>
            </w:tcMar>
          </w:tcPr>
          <w:p>
            <w:r>
              <w:rPr>
                <w:b w:val="false"/>
                <w:bCs w:val="false"/>
              </w:rPr>
              <w:t xml:space="preserve">Incumbent custom-coded engine for large-volume file transfer. Remains in place; Boomi MFT complements it.</w:t>
            </w:r>
          </w:p>
        </w:tc>
      </w:tr>
      <w:tr>
        <w:trPr>
          <w:tblHeader w:val="false"/>
        </w:trPr>
        <w:tc>
          <w:tcPr>
            <w:tcW w:type="dxa" w:w="3000"/>
            <w:tcMar>
              <w:top w:type="dxa" w:w="40"/>
              <w:left w:type="dxa" w:w="90"/>
              <w:bottom w:type="dxa" w:w="40"/>
              <w:right w:type="dxa" w:w="90"/>
            </w:tcMar>
          </w:tcPr>
          <w:p>
            <w:r>
              <w:rPr>
                <w:b/>
                <w:bCs/>
              </w:rPr>
              <w:t xml:space="preserve">MDTP</w:t>
            </w:r>
          </w:p>
        </w:tc>
        <w:tc>
          <w:tcPr>
            <w:tcW w:type="dxa" w:w="6026"/>
            <w:tcMar>
              <w:top w:type="dxa" w:w="40"/>
              <w:left w:type="dxa" w:w="90"/>
              <w:bottom w:type="dxa" w:w="40"/>
              <w:right w:type="dxa" w:w="90"/>
            </w:tcMar>
          </w:tcPr>
          <w:p>
            <w:r>
              <w:rPr>
                <w:b w:val="false"/>
                <w:bCs w:val="false"/>
              </w:rPr>
              <w:t xml:space="preserve">Digital tax platform; consumer/producer of managed file transfers.</w:t>
            </w:r>
          </w:p>
        </w:tc>
      </w:tr>
      <w:tr>
        <w:trPr>
          <w:tblHeader w:val="false"/>
        </w:trPr>
        <w:tc>
          <w:tcPr>
            <w:tcW w:type="dxa" w:w="3000"/>
            <w:tcMar>
              <w:top w:type="dxa" w:w="40"/>
              <w:left w:type="dxa" w:w="90"/>
              <w:bottom w:type="dxa" w:w="40"/>
              <w:right w:type="dxa" w:w="90"/>
            </w:tcMar>
          </w:tcPr>
          <w:p>
            <w:r>
              <w:rPr>
                <w:b/>
                <w:bCs/>
              </w:rPr>
              <w:t xml:space="preserve">SaaS systems (iPaaS)</w:t>
            </w:r>
          </w:p>
        </w:tc>
        <w:tc>
          <w:tcPr>
            <w:tcW w:type="dxa" w:w="6026"/>
            <w:tcMar>
              <w:top w:type="dxa" w:w="40"/>
              <w:left w:type="dxa" w:w="90"/>
              <w:bottom w:type="dxa" w:w="40"/>
              <w:right w:type="dxa" w:w="90"/>
            </w:tcMar>
          </w:tcPr>
          <w:p>
            <w:r>
              <w:rPr>
                <w:b w:val="false"/>
                <w:bCs w:val="false"/>
              </w:rPr>
              <w:t xml:space="preserve">Tax (S4H), CRM (CF/MSD), Workflow (Pega), B&amp;T (CDS); exchange files via the iPaaS platform.</w:t>
            </w:r>
          </w:p>
        </w:tc>
      </w:tr>
      <w:tr>
        <w:trPr>
          <w:tblHeader w:val="false"/>
        </w:trPr>
        <w:tc>
          <w:tcPr>
            <w:tcW w:type="dxa" w:w="3000"/>
            <w:tcMar>
              <w:top w:type="dxa" w:w="40"/>
              <w:left w:type="dxa" w:w="90"/>
              <w:bottom w:type="dxa" w:w="40"/>
              <w:right w:type="dxa" w:w="90"/>
            </w:tcMar>
          </w:tcPr>
          <w:p>
            <w:r>
              <w:rPr>
                <w:b/>
                <w:bCs/>
              </w:rPr>
              <w:t xml:space="preserve">HoD applications</w:t>
            </w:r>
          </w:p>
        </w:tc>
        <w:tc>
          <w:tcPr>
            <w:tcW w:type="dxa" w:w="6026"/>
            <w:tcMar>
              <w:top w:type="dxa" w:w="40"/>
              <w:left w:type="dxa" w:w="90"/>
              <w:bottom w:type="dxa" w:w="40"/>
              <w:right w:type="dxa" w:w="90"/>
            </w:tcMar>
          </w:tcPr>
          <w:p>
            <w:r>
              <w:rPr>
                <w:b w:val="false"/>
                <w:bCs w:val="false"/>
              </w:rPr>
              <w:t xml:space="preserve">Heads-of-Duty applications across AWS, Azure, Crown Hosting and Fujitsu; delivery/collection endpoints reached from the internal runtime.</w:t>
            </w:r>
          </w:p>
        </w:tc>
      </w:tr>
      <w:tr>
        <w:trPr>
          <w:tblHeader w:val="false"/>
        </w:trPr>
        <w:tc>
          <w:tcPr>
            <w:tcW w:type="dxa" w:w="3000"/>
            <w:tcMar>
              <w:top w:type="dxa" w:w="40"/>
              <w:left w:type="dxa" w:w="90"/>
              <w:bottom w:type="dxa" w:w="40"/>
              <w:right w:type="dxa" w:w="90"/>
            </w:tcMar>
          </w:tcPr>
          <w:p>
            <w:r>
              <w:rPr>
                <w:b/>
                <w:bCs/>
              </w:rPr>
              <w:t xml:space="preserve">External consumers / OGDs</w:t>
            </w:r>
          </w:p>
        </w:tc>
        <w:tc>
          <w:tcPr>
            <w:tcW w:type="dxa" w:w="6026"/>
            <w:tcMar>
              <w:top w:type="dxa" w:w="40"/>
              <w:left w:type="dxa" w:w="90"/>
              <w:bottom w:type="dxa" w:w="40"/>
              <w:right w:type="dxa" w:w="90"/>
            </w:tcMar>
          </w:tcPr>
          <w:p>
            <w:r>
              <w:rPr>
                <w:b w:val="false"/>
                <w:bCs w:val="false"/>
              </w:rPr>
              <w:t xml:space="preserve">Other government departments and third-party consumers exchanging files over SFTP/FTPS/AS2.</w:t>
            </w:r>
          </w:p>
        </w:tc>
      </w:tr>
    </w:tbl>
    <w:p>
      <w:pPr>
        <w:spacing w:after="100"/>
      </w:pPr>
      <w:r>
        <w:rPr>
          <w:i/>
          <w:iCs/>
        </w:rPr>
        <w:t xml:space="preserve">WebMethods provides integration/orchestration and is addressed in the separate integration coexistence design. It is not the department’s file-transfer platform and is out of scope for this SDD.</w:t>
      </w:r>
    </w:p>
    <w:p>
      <w:pPr>
        <w:pStyle w:val="Heading1"/>
        <w:spacing w:after="120" w:before="260"/>
      </w:pPr>
      <w:r>
        <w:rPr>
          <w:b/>
          <w:bCs/>
          <w:color w:val="12123A"/>
        </w:rPr>
        <w:t xml:space="preserve">6  Requirements</w:t>
      </w:r>
    </w:p>
    <w:p>
      <w:pPr>
        <w:pStyle w:val="Heading2"/>
        <w:spacing w:after="80" w:before="160"/>
      </w:pPr>
      <w:r>
        <w:rPr>
          <w:b/>
          <w:bCs/>
          <w:color w:val="12123A"/>
        </w:rPr>
        <w:t xml:space="preserve">6.1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2400"/>
      </w:tblGrid>
      <w:tr>
        <w:trPr>
          <w:tblHeader/>
        </w:trPr>
        <w:tc>
          <w:tcPr>
            <w:tcW w:type="dxa" w:w="1300"/>
            <w:shd w:fill="12123A" w:val="clear"/>
            <w:tcMar>
              <w:top w:type="dxa" w:w="40"/>
              <w:left w:type="dxa" w:w="90"/>
              <w:bottom w:type="dxa" w:w="40"/>
              <w:right w:type="dxa" w:w="90"/>
            </w:tcMar>
          </w:tcPr>
          <w:p>
            <w:r>
              <w:rPr>
                <w:b/>
                <w:bCs/>
                <w:color w:val="FFFFFF"/>
              </w:rPr>
              <w:t xml:space="preserve">Ref</w:t>
            </w:r>
          </w:p>
        </w:tc>
        <w:tc>
          <w:tcPr>
            <w:tcW w:type="dxa" w:w="5326"/>
            <w:shd w:fill="12123A" w:val="clear"/>
            <w:tcMar>
              <w:top w:type="dxa" w:w="40"/>
              <w:left w:type="dxa" w:w="90"/>
              <w:bottom w:type="dxa" w:w="40"/>
              <w:right w:type="dxa" w:w="90"/>
            </w:tcMar>
          </w:tcPr>
          <w:p>
            <w:r>
              <w:rPr>
                <w:b/>
                <w:bCs/>
                <w:color w:val="FFFFFF"/>
              </w:rPr>
              <w:t xml:space="preserve">Requirement</w:t>
            </w:r>
          </w:p>
        </w:tc>
        <w:tc>
          <w:tcPr>
            <w:tcW w:type="dxa" w:w="2400"/>
            <w:shd w:fill="12123A" w:val="clear"/>
            <w:tcMar>
              <w:top w:type="dxa" w:w="40"/>
              <w:left w:type="dxa" w:w="90"/>
              <w:bottom w:type="dxa" w:w="40"/>
              <w:right w:type="dxa" w:w="90"/>
            </w:tcMar>
          </w:tcPr>
          <w:p>
            <w:r>
              <w:rPr>
                <w:b/>
                <w:bCs/>
                <w:color w:val="FFFFFF"/>
              </w:rPr>
              <w:t xml:space="preserve">Met by</w:t>
            </w:r>
          </w:p>
        </w:tc>
      </w:tr>
      <w:tr>
        <w:trPr>
          <w:tblHeader w:val="false"/>
        </w:trPr>
        <w:tc>
          <w:tcPr>
            <w:tcW w:type="dxa" w:w="1300"/>
            <w:tcMar>
              <w:top w:type="dxa" w:w="40"/>
              <w:left w:type="dxa" w:w="90"/>
              <w:bottom w:type="dxa" w:w="40"/>
              <w:right w:type="dxa" w:w="90"/>
            </w:tcMar>
          </w:tcPr>
          <w:p>
            <w:r>
              <w:rPr>
                <w:b w:val="false"/>
                <w:bCs w:val="false"/>
              </w:rPr>
              <w:t xml:space="preserve">FR-01</w:t>
            </w:r>
          </w:p>
        </w:tc>
        <w:tc>
          <w:tcPr>
            <w:tcW w:type="dxa" w:w="5326"/>
            <w:tcMar>
              <w:top w:type="dxa" w:w="40"/>
              <w:left w:type="dxa" w:w="90"/>
              <w:bottom w:type="dxa" w:w="40"/>
              <w:right w:type="dxa" w:w="90"/>
            </w:tcMar>
          </w:tcPr>
          <w:p>
            <w:r>
              <w:rPr>
                <w:b w:val="false"/>
                <w:bCs w:val="false"/>
              </w:rPr>
              <w:t xml:space="preserve">Secure inbound and outbound transfer over multiple protocols (SFTP, FTPS, AS2).</w:t>
            </w:r>
          </w:p>
        </w:tc>
        <w:tc>
          <w:tcPr>
            <w:tcW w:type="dxa" w:w="2400"/>
            <w:tcMar>
              <w:top w:type="dxa" w:w="40"/>
              <w:left w:type="dxa" w:w="90"/>
              <w:bottom w:type="dxa" w:w="40"/>
              <w:right w:type="dxa" w:w="90"/>
            </w:tcMar>
          </w:tcPr>
          <w:p>
            <w:r>
              <w:rPr>
                <w:b w:val="false"/>
                <w:bCs w:val="false"/>
              </w:rPr>
              <w:t xml:space="preserve">Native MFT endpoints</w:t>
            </w:r>
          </w:p>
        </w:tc>
      </w:tr>
      <w:tr>
        <w:trPr>
          <w:tblHeader w:val="false"/>
        </w:trPr>
        <w:tc>
          <w:tcPr>
            <w:tcW w:type="dxa" w:w="1300"/>
            <w:tcMar>
              <w:top w:type="dxa" w:w="40"/>
              <w:left w:type="dxa" w:w="90"/>
              <w:bottom w:type="dxa" w:w="40"/>
              <w:right w:type="dxa" w:w="90"/>
            </w:tcMar>
          </w:tcPr>
          <w:p>
            <w:r>
              <w:rPr>
                <w:b w:val="false"/>
                <w:bCs w:val="false"/>
              </w:rPr>
              <w:t xml:space="preserve">FR-02</w:t>
            </w:r>
          </w:p>
        </w:tc>
        <w:tc>
          <w:tcPr>
            <w:tcW w:type="dxa" w:w="5326"/>
            <w:tcMar>
              <w:top w:type="dxa" w:w="40"/>
              <w:left w:type="dxa" w:w="90"/>
              <w:bottom w:type="dxa" w:w="40"/>
              <w:right w:type="dxa" w:w="90"/>
            </w:tcMar>
          </w:tcPr>
          <w:p>
            <w:r>
              <w:rPr>
                <w:b w:val="false"/>
                <w:bCs w:val="false"/>
              </w:rPr>
              <w:t xml:space="preserve">Onboard trading partners and endpoints without new build.</w:t>
            </w:r>
          </w:p>
        </w:tc>
        <w:tc>
          <w:tcPr>
            <w:tcW w:type="dxa" w:w="2400"/>
            <w:tcMar>
              <w:top w:type="dxa" w:w="40"/>
              <w:left w:type="dxa" w:w="90"/>
              <w:bottom w:type="dxa" w:w="40"/>
              <w:right w:type="dxa" w:w="90"/>
            </w:tcMar>
          </w:tcPr>
          <w:p>
            <w:r>
              <w:rPr>
                <w:b w:val="false"/>
                <w:bCs w:val="false"/>
              </w:rPr>
              <w:t xml:space="preserve">Orgs/Endpoints + config</w:t>
            </w:r>
          </w:p>
        </w:tc>
      </w:tr>
      <w:tr>
        <w:trPr>
          <w:tblHeader w:val="false"/>
        </w:trPr>
        <w:tc>
          <w:tcPr>
            <w:tcW w:type="dxa" w:w="1300"/>
            <w:tcMar>
              <w:top w:type="dxa" w:w="40"/>
              <w:left w:type="dxa" w:w="90"/>
              <w:bottom w:type="dxa" w:w="40"/>
              <w:right w:type="dxa" w:w="90"/>
            </w:tcMar>
          </w:tcPr>
          <w:p>
            <w:r>
              <w:rPr>
                <w:b w:val="false"/>
                <w:bCs w:val="false"/>
              </w:rPr>
              <w:t xml:space="preserve">FR-03</w:t>
            </w:r>
          </w:p>
        </w:tc>
        <w:tc>
          <w:tcPr>
            <w:tcW w:type="dxa" w:w="5326"/>
            <w:tcMar>
              <w:top w:type="dxa" w:w="40"/>
              <w:left w:type="dxa" w:w="90"/>
              <w:bottom w:type="dxa" w:w="40"/>
              <w:right w:type="dxa" w:w="90"/>
            </w:tcMar>
          </w:tcPr>
          <w:p>
            <w:r>
              <w:rPr>
                <w:b w:val="false"/>
                <w:bCs w:val="false"/>
              </w:rPr>
              <w:t xml:space="preserve">Trigger downstream Boomi processing on file arrival (event-driven).</w:t>
            </w:r>
          </w:p>
        </w:tc>
        <w:tc>
          <w:tcPr>
            <w:tcW w:type="dxa" w:w="2400"/>
            <w:tcMar>
              <w:top w:type="dxa" w:w="40"/>
              <w:left w:type="dxa" w:w="90"/>
              <w:bottom w:type="dxa" w:w="40"/>
              <w:right w:type="dxa" w:w="90"/>
            </w:tcMar>
          </w:tcPr>
          <w:p>
            <w:r>
              <w:rPr>
                <w:b w:val="false"/>
                <w:bCs w:val="false"/>
              </w:rPr>
              <w:t xml:space="preserve">MFT → process trigger</w:t>
            </w:r>
          </w:p>
        </w:tc>
      </w:tr>
      <w:tr>
        <w:trPr>
          <w:tblHeader w:val="false"/>
        </w:trPr>
        <w:tc>
          <w:tcPr>
            <w:tcW w:type="dxa" w:w="1300"/>
            <w:tcMar>
              <w:top w:type="dxa" w:w="40"/>
              <w:left w:type="dxa" w:w="90"/>
              <w:bottom w:type="dxa" w:w="40"/>
              <w:right w:type="dxa" w:w="90"/>
            </w:tcMar>
          </w:tcPr>
          <w:p>
            <w:r>
              <w:rPr>
                <w:b w:val="false"/>
                <w:bCs w:val="false"/>
              </w:rPr>
              <w:t xml:space="preserve">FR-04</w:t>
            </w:r>
          </w:p>
        </w:tc>
        <w:tc>
          <w:tcPr>
            <w:tcW w:type="dxa" w:w="5326"/>
            <w:tcMar>
              <w:top w:type="dxa" w:w="40"/>
              <w:left w:type="dxa" w:w="90"/>
              <w:bottom w:type="dxa" w:w="40"/>
              <w:right w:type="dxa" w:w="90"/>
            </w:tcMar>
          </w:tcPr>
          <w:p>
            <w:r>
              <w:rPr>
                <w:b w:val="false"/>
                <w:bCs w:val="false"/>
              </w:rPr>
              <w:t xml:space="preserve">End-to-end tracking with a unique transfer identifier and delivery confirmation.</w:t>
            </w:r>
          </w:p>
        </w:tc>
        <w:tc>
          <w:tcPr>
            <w:tcW w:type="dxa" w:w="2400"/>
            <w:tcMar>
              <w:top w:type="dxa" w:w="40"/>
              <w:left w:type="dxa" w:w="90"/>
              <w:bottom w:type="dxa" w:w="40"/>
              <w:right w:type="dxa" w:w="90"/>
            </w:tcMar>
          </w:tcPr>
          <w:p>
            <w:r>
              <w:rPr>
                <w:b w:val="false"/>
                <w:bCs w:val="false"/>
              </w:rPr>
              <w:t xml:space="preserve">Tracking &amp; audit log</w:t>
            </w:r>
          </w:p>
        </w:tc>
      </w:tr>
      <w:tr>
        <w:trPr>
          <w:tblHeader w:val="false"/>
        </w:trPr>
        <w:tc>
          <w:tcPr>
            <w:tcW w:type="dxa" w:w="1300"/>
            <w:tcMar>
              <w:top w:type="dxa" w:w="40"/>
              <w:left w:type="dxa" w:w="90"/>
              <w:bottom w:type="dxa" w:w="40"/>
              <w:right w:type="dxa" w:w="90"/>
            </w:tcMar>
          </w:tcPr>
          <w:p>
            <w:r>
              <w:rPr>
                <w:b w:val="false"/>
                <w:bCs w:val="false"/>
              </w:rPr>
              <w:t xml:space="preserve">FR-05</w:t>
            </w:r>
          </w:p>
        </w:tc>
        <w:tc>
          <w:tcPr>
            <w:tcW w:type="dxa" w:w="5326"/>
            <w:tcMar>
              <w:top w:type="dxa" w:w="40"/>
              <w:left w:type="dxa" w:w="90"/>
              <w:bottom w:type="dxa" w:w="40"/>
              <w:right w:type="dxa" w:w="90"/>
            </w:tcMar>
          </w:tcPr>
          <w:p>
            <w:r>
              <w:rPr>
                <w:b w:val="false"/>
                <w:bCs w:val="false"/>
              </w:rPr>
              <w:t xml:space="preserve">Guaranteed delivery with automatic retry and fault tolerance.</w:t>
            </w:r>
          </w:p>
        </w:tc>
        <w:tc>
          <w:tcPr>
            <w:tcW w:type="dxa" w:w="2400"/>
            <w:tcMar>
              <w:top w:type="dxa" w:w="40"/>
              <w:left w:type="dxa" w:w="90"/>
              <w:bottom w:type="dxa" w:w="40"/>
              <w:right w:type="dxa" w:w="90"/>
            </w:tcMar>
          </w:tcPr>
          <w:p>
            <w:r>
              <w:rPr>
                <w:b w:val="false"/>
                <w:bCs w:val="false"/>
              </w:rPr>
              <w:t xml:space="preserve">Persistence + retry</w:t>
            </w:r>
          </w:p>
        </w:tc>
      </w:tr>
      <w:tr>
        <w:trPr>
          <w:tblHeader w:val="false"/>
        </w:trPr>
        <w:tc>
          <w:tcPr>
            <w:tcW w:type="dxa" w:w="1300"/>
            <w:tcMar>
              <w:top w:type="dxa" w:w="40"/>
              <w:left w:type="dxa" w:w="90"/>
              <w:bottom w:type="dxa" w:w="40"/>
              <w:right w:type="dxa" w:w="90"/>
            </w:tcMar>
          </w:tcPr>
          <w:p>
            <w:r>
              <w:rPr>
                <w:b w:val="false"/>
                <w:bCs w:val="false"/>
              </w:rPr>
              <w:t xml:space="preserve">FR-06</w:t>
            </w:r>
          </w:p>
        </w:tc>
        <w:tc>
          <w:tcPr>
            <w:tcW w:type="dxa" w:w="5326"/>
            <w:tcMar>
              <w:top w:type="dxa" w:w="40"/>
              <w:left w:type="dxa" w:w="90"/>
              <w:bottom w:type="dxa" w:w="40"/>
              <w:right w:type="dxa" w:w="90"/>
            </w:tcMar>
          </w:tcPr>
          <w:p>
            <w:r>
              <w:rPr>
                <w:b w:val="false"/>
                <w:bCs w:val="false"/>
              </w:rPr>
              <w:t xml:space="preserve">Handle large files and archives efficiently.</w:t>
            </w:r>
          </w:p>
        </w:tc>
        <w:tc>
          <w:tcPr>
            <w:tcW w:type="dxa" w:w="2400"/>
            <w:tcMar>
              <w:top w:type="dxa" w:w="40"/>
              <w:left w:type="dxa" w:w="90"/>
              <w:bottom w:type="dxa" w:w="40"/>
              <w:right w:type="dxa" w:w="90"/>
            </w:tcMar>
          </w:tcPr>
          <w:p>
            <w:r>
              <w:rPr>
                <w:b w:val="false"/>
                <w:bCs w:val="false"/>
              </w:rPr>
              <w:t xml:space="preserve">Streaming + TAR support</w:t>
            </w:r>
          </w:p>
        </w:tc>
      </w:tr>
      <w:tr>
        <w:trPr>
          <w:tblHeader w:val="false"/>
        </w:trPr>
        <w:tc>
          <w:tcPr>
            <w:tcW w:type="dxa" w:w="1300"/>
            <w:tcMar>
              <w:top w:type="dxa" w:w="40"/>
              <w:left w:type="dxa" w:w="90"/>
              <w:bottom w:type="dxa" w:w="40"/>
              <w:right w:type="dxa" w:w="90"/>
            </w:tcMar>
          </w:tcPr>
          <w:p>
            <w:r>
              <w:rPr>
                <w:b w:val="false"/>
                <w:bCs w:val="false"/>
              </w:rPr>
              <w:t xml:space="preserve">FR-07</w:t>
            </w:r>
          </w:p>
        </w:tc>
        <w:tc>
          <w:tcPr>
            <w:tcW w:type="dxa" w:w="5326"/>
            <w:tcMar>
              <w:top w:type="dxa" w:w="40"/>
              <w:left w:type="dxa" w:w="90"/>
              <w:bottom w:type="dxa" w:w="40"/>
              <w:right w:type="dxa" w:w="90"/>
            </w:tcMar>
          </w:tcPr>
          <w:p>
            <w:r>
              <w:rPr>
                <w:b w:val="false"/>
                <w:bCs w:val="false"/>
              </w:rPr>
              <w:t xml:space="preserve">Encrypt/decrypt payloads (PGP, incl. ASCII-armor) and secure in transit.</w:t>
            </w:r>
          </w:p>
        </w:tc>
        <w:tc>
          <w:tcPr>
            <w:tcW w:type="dxa" w:w="2400"/>
            <w:tcMar>
              <w:top w:type="dxa" w:w="40"/>
              <w:left w:type="dxa" w:w="90"/>
              <w:bottom w:type="dxa" w:w="40"/>
              <w:right w:type="dxa" w:w="90"/>
            </w:tcMar>
          </w:tcPr>
          <w:p>
            <w:r>
              <w:rPr>
                <w:b w:val="false"/>
                <w:bCs w:val="false"/>
              </w:rPr>
              <w:t xml:space="preserve">PGP + TLS/SSH</w:t>
            </w:r>
          </w:p>
        </w:tc>
      </w:tr>
      <w:tr>
        <w:trPr>
          <w:tblHeader w:val="false"/>
        </w:trPr>
        <w:tc>
          <w:tcPr>
            <w:tcW w:type="dxa" w:w="1300"/>
            <w:tcMar>
              <w:top w:type="dxa" w:w="40"/>
              <w:left w:type="dxa" w:w="90"/>
              <w:bottom w:type="dxa" w:w="40"/>
              <w:right w:type="dxa" w:w="90"/>
            </w:tcMar>
          </w:tcPr>
          <w:p>
            <w:r>
              <w:rPr>
                <w:b w:val="false"/>
                <w:bCs w:val="false"/>
              </w:rPr>
              <w:t xml:space="preserve">FR-08</w:t>
            </w:r>
          </w:p>
        </w:tc>
        <w:tc>
          <w:tcPr>
            <w:tcW w:type="dxa" w:w="5326"/>
            <w:tcMar>
              <w:top w:type="dxa" w:w="40"/>
              <w:left w:type="dxa" w:w="90"/>
              <w:bottom w:type="dxa" w:w="40"/>
              <w:right w:type="dxa" w:w="90"/>
            </w:tcMar>
          </w:tcPr>
          <w:p>
            <w:r>
              <w:rPr>
                <w:b w:val="false"/>
                <w:bCs w:val="false"/>
              </w:rPr>
              <w:t xml:space="preserve">Filename-pattern routing, filtering and post-transfer actions.</w:t>
            </w:r>
          </w:p>
        </w:tc>
        <w:tc>
          <w:tcPr>
            <w:tcW w:type="dxa" w:w="2400"/>
            <w:tcMar>
              <w:top w:type="dxa" w:w="40"/>
              <w:left w:type="dxa" w:w="90"/>
              <w:bottom w:type="dxa" w:w="40"/>
              <w:right w:type="dxa" w:w="90"/>
            </w:tcMar>
          </w:tcPr>
          <w:p>
            <w:r>
              <w:rPr>
                <w:b w:val="false"/>
                <w:bCs w:val="false"/>
              </w:rPr>
              <w:t xml:space="preserve">Flow endpoints + config</w:t>
            </w:r>
          </w:p>
        </w:tc>
      </w:tr>
      <w:tr>
        <w:trPr>
          <w:tblHeader w:val="false"/>
        </w:trPr>
        <w:tc>
          <w:tcPr>
            <w:tcW w:type="dxa" w:w="1300"/>
            <w:tcMar>
              <w:top w:type="dxa" w:w="40"/>
              <w:left w:type="dxa" w:w="90"/>
              <w:bottom w:type="dxa" w:w="40"/>
              <w:right w:type="dxa" w:w="90"/>
            </w:tcMar>
          </w:tcPr>
          <w:p>
            <w:r>
              <w:rPr>
                <w:b w:val="false"/>
                <w:bCs w:val="false"/>
              </w:rPr>
              <w:t xml:space="preserve">FR-09</w:t>
            </w:r>
          </w:p>
        </w:tc>
        <w:tc>
          <w:tcPr>
            <w:tcW w:type="dxa" w:w="5326"/>
            <w:tcMar>
              <w:top w:type="dxa" w:w="40"/>
              <w:left w:type="dxa" w:w="90"/>
              <w:bottom w:type="dxa" w:w="40"/>
              <w:right w:type="dxa" w:w="90"/>
            </w:tcMar>
          </w:tcPr>
          <w:p>
            <w:r>
              <w:rPr>
                <w:b w:val="false"/>
                <w:bCs w:val="false"/>
              </w:rPr>
              <w:t xml:space="preserve">Time-based scheduling and polling of sources.</w:t>
            </w:r>
          </w:p>
        </w:tc>
        <w:tc>
          <w:tcPr>
            <w:tcW w:type="dxa" w:w="2400"/>
            <w:tcMar>
              <w:top w:type="dxa" w:w="40"/>
              <w:left w:type="dxa" w:w="90"/>
              <w:bottom w:type="dxa" w:w="40"/>
              <w:right w:type="dxa" w:w="90"/>
            </w:tcMar>
          </w:tcPr>
          <w:p>
            <w:r>
              <w:rPr>
                <w:b w:val="false"/>
                <w:bCs w:val="false"/>
              </w:rPr>
              <w:t xml:space="preserve">Scheduling engine</w:t>
            </w:r>
          </w:p>
        </w:tc>
      </w:tr>
      <w:tr>
        <w:trPr>
          <w:tblHeader w:val="false"/>
        </w:trPr>
        <w:tc>
          <w:tcPr>
            <w:tcW w:type="dxa" w:w="1300"/>
            <w:tcMar>
              <w:top w:type="dxa" w:w="40"/>
              <w:left w:type="dxa" w:w="90"/>
              <w:bottom w:type="dxa" w:w="40"/>
              <w:right w:type="dxa" w:w="90"/>
            </w:tcMar>
          </w:tcPr>
          <w:p>
            <w:r>
              <w:rPr>
                <w:b w:val="false"/>
                <w:bCs w:val="false"/>
              </w:rPr>
              <w:t xml:space="preserve">FR-10</w:t>
            </w:r>
          </w:p>
        </w:tc>
        <w:tc>
          <w:tcPr>
            <w:tcW w:type="dxa" w:w="5326"/>
            <w:tcMar>
              <w:top w:type="dxa" w:w="40"/>
              <w:left w:type="dxa" w:w="90"/>
              <w:bottom w:type="dxa" w:w="40"/>
              <w:right w:type="dxa" w:w="90"/>
            </w:tcMar>
          </w:tcPr>
          <w:p>
            <w:r>
              <w:rPr>
                <w:b w:val="false"/>
                <w:bCs w:val="false"/>
              </w:rPr>
              <w:t xml:space="preserve">Internal (east-west) movement between HMRC systems inside the trusted zone.</w:t>
            </w:r>
          </w:p>
        </w:tc>
        <w:tc>
          <w:tcPr>
            <w:tcW w:type="dxa" w:w="2400"/>
            <w:tcMar>
              <w:top w:type="dxa" w:w="40"/>
              <w:left w:type="dxa" w:w="90"/>
              <w:bottom w:type="dxa" w:w="40"/>
              <w:right w:type="dxa" w:w="90"/>
            </w:tcMar>
          </w:tcPr>
          <w:p>
            <w:r>
              <w:rPr>
                <w:b w:val="false"/>
                <w:bCs w:val="false"/>
              </w:rPr>
              <w:t xml:space="preserve">Runtime agent (broker)</w:t>
            </w:r>
          </w:p>
        </w:tc>
      </w:tr>
      <w:tr>
        <w:trPr>
          <w:tblHeader w:val="false"/>
        </w:trPr>
        <w:tc>
          <w:tcPr>
            <w:tcW w:type="dxa" w:w="1300"/>
            <w:tcMar>
              <w:top w:type="dxa" w:w="40"/>
              <w:left w:type="dxa" w:w="90"/>
              <w:bottom w:type="dxa" w:w="40"/>
              <w:right w:type="dxa" w:w="90"/>
            </w:tcMar>
          </w:tcPr>
          <w:p>
            <w:r>
              <w:rPr>
                <w:b w:val="false"/>
                <w:bCs w:val="false"/>
              </w:rPr>
              <w:t xml:space="preserve">FR-11</w:t>
            </w:r>
          </w:p>
        </w:tc>
        <w:tc>
          <w:tcPr>
            <w:tcW w:type="dxa" w:w="5326"/>
            <w:tcMar>
              <w:top w:type="dxa" w:w="40"/>
              <w:left w:type="dxa" w:w="90"/>
              <w:bottom w:type="dxa" w:w="40"/>
              <w:right w:type="dxa" w:w="90"/>
            </w:tcMar>
          </w:tcPr>
          <w:p>
            <w:r>
              <w:rPr>
                <w:b w:val="false"/>
                <w:bCs w:val="false"/>
              </w:rPr>
              <w:t xml:space="preserve">Alert on failure and SLA breach; expose operational telemetry.</w:t>
            </w:r>
          </w:p>
        </w:tc>
        <w:tc>
          <w:tcPr>
            <w:tcW w:type="dxa" w:w="2400"/>
            <w:tcMar>
              <w:top w:type="dxa" w:w="40"/>
              <w:left w:type="dxa" w:w="90"/>
              <w:bottom w:type="dxa" w:w="40"/>
              <w:right w:type="dxa" w:w="90"/>
            </w:tcMar>
          </w:tcPr>
          <w:p>
            <w:r>
              <w:rPr>
                <w:b w:val="false"/>
                <w:bCs w:val="false"/>
              </w:rPr>
              <w:t xml:space="preserve">Health telemetry + OTel</w:t>
            </w:r>
          </w:p>
        </w:tc>
      </w:tr>
    </w:tbl>
    <w:p>
      <w:pPr>
        <w:pStyle w:val="Heading2"/>
        <w:spacing w:after="80" w:before="160"/>
      </w:pPr>
      <w:r>
        <w:rPr>
          <w:b/>
          <w:bCs/>
          <w:color w:val="12123A"/>
        </w:rPr>
        <w:t xml:space="preserve">6.2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3826"/>
      </w:tblGrid>
      <w:tr>
        <w:trPr>
          <w:tblHeader/>
        </w:trPr>
        <w:tc>
          <w:tcPr>
            <w:tcW w:type="dxa" w:w="1300"/>
            <w:shd w:fill="12123A" w:val="clear"/>
            <w:tcMar>
              <w:top w:type="dxa" w:w="40"/>
              <w:left w:type="dxa" w:w="90"/>
              <w:bottom w:type="dxa" w:w="40"/>
              <w:right w:type="dxa" w:w="90"/>
            </w:tcMar>
          </w:tcPr>
          <w:p>
            <w:r>
              <w:rPr>
                <w:b/>
                <w:bCs/>
                <w:color w:val="FFFFFF"/>
              </w:rPr>
              <w:t xml:space="preserve">Ref</w:t>
            </w:r>
          </w:p>
        </w:tc>
        <w:tc>
          <w:tcPr>
            <w:tcW w:type="dxa" w:w="3900"/>
            <w:shd w:fill="12123A" w:val="clear"/>
            <w:tcMar>
              <w:top w:type="dxa" w:w="40"/>
              <w:left w:type="dxa" w:w="90"/>
              <w:bottom w:type="dxa" w:w="40"/>
              <w:right w:type="dxa" w:w="90"/>
            </w:tcMar>
          </w:tcPr>
          <w:p>
            <w:r>
              <w:rPr>
                <w:b/>
                <w:bCs/>
                <w:color w:val="FFFFFF"/>
              </w:rPr>
              <w:t xml:space="preserve">Requirement</w:t>
            </w:r>
          </w:p>
        </w:tc>
        <w:tc>
          <w:tcPr>
            <w:tcW w:type="dxa" w:w="3826"/>
            <w:shd w:fill="12123A" w:val="clear"/>
            <w:tcMar>
              <w:top w:type="dxa" w:w="40"/>
              <w:left w:type="dxa" w:w="90"/>
              <w:bottom w:type="dxa" w:w="40"/>
              <w:right w:type="dxa" w:w="90"/>
            </w:tcMar>
          </w:tcPr>
          <w:p>
            <w:r>
              <w:rPr>
                <w:b/>
                <w:bCs/>
                <w:color w:val="FFFFFF"/>
              </w:rPr>
              <w:t xml:space="preserve">Design response</w:t>
            </w:r>
          </w:p>
        </w:tc>
      </w:tr>
      <w:tr>
        <w:trPr>
          <w:tblHeader w:val="false"/>
        </w:trPr>
        <w:tc>
          <w:tcPr>
            <w:tcW w:type="dxa" w:w="1300"/>
            <w:tcMar>
              <w:top w:type="dxa" w:w="40"/>
              <w:left w:type="dxa" w:w="90"/>
              <w:bottom w:type="dxa" w:w="40"/>
              <w:right w:type="dxa" w:w="90"/>
            </w:tcMar>
          </w:tcPr>
          <w:p>
            <w:r>
              <w:rPr>
                <w:b w:val="false"/>
                <w:bCs w:val="false"/>
              </w:rPr>
              <w:t xml:space="preserve">NFR-01</w:t>
            </w:r>
          </w:p>
        </w:tc>
        <w:tc>
          <w:tcPr>
            <w:tcW w:type="dxa" w:w="3900"/>
            <w:tcMar>
              <w:top w:type="dxa" w:w="40"/>
              <w:left w:type="dxa" w:w="90"/>
              <w:bottom w:type="dxa" w:w="40"/>
              <w:right w:type="dxa" w:w="90"/>
            </w:tcMar>
          </w:tcPr>
          <w:p>
            <w:r>
              <w:rPr>
                <w:b w:val="false"/>
                <w:bCs w:val="false"/>
              </w:rPr>
              <w:t xml:space="preserve">High availability</w:t>
            </w:r>
          </w:p>
        </w:tc>
        <w:tc>
          <w:tcPr>
            <w:tcW w:type="dxa" w:w="3826"/>
            <w:tcMar>
              <w:top w:type="dxa" w:w="40"/>
              <w:left w:type="dxa" w:w="90"/>
              <w:bottom w:type="dxa" w:w="40"/>
              <w:right w:type="dxa" w:w="90"/>
            </w:tcMar>
          </w:tcPr>
          <w:p>
            <w:r>
              <w:rPr>
                <w:b w:val="false"/>
                <w:bCs w:val="false"/>
              </w:rPr>
              <w:t xml:space="preserve">Clustered runtime (Molecule) + resilient edge</w:t>
            </w:r>
          </w:p>
        </w:tc>
      </w:tr>
      <w:tr>
        <w:trPr>
          <w:tblHeader w:val="false"/>
        </w:trPr>
        <w:tc>
          <w:tcPr>
            <w:tcW w:type="dxa" w:w="1300"/>
            <w:tcMar>
              <w:top w:type="dxa" w:w="40"/>
              <w:left w:type="dxa" w:w="90"/>
              <w:bottom w:type="dxa" w:w="40"/>
              <w:right w:type="dxa" w:w="90"/>
            </w:tcMar>
          </w:tcPr>
          <w:p>
            <w:r>
              <w:rPr>
                <w:b w:val="false"/>
                <w:bCs w:val="false"/>
              </w:rPr>
              <w:t xml:space="preserve">NFR-02</w:t>
            </w:r>
          </w:p>
        </w:tc>
        <w:tc>
          <w:tcPr>
            <w:tcW w:type="dxa" w:w="3900"/>
            <w:tcMar>
              <w:top w:type="dxa" w:w="40"/>
              <w:left w:type="dxa" w:w="90"/>
              <w:bottom w:type="dxa" w:w="40"/>
              <w:right w:type="dxa" w:w="90"/>
            </w:tcMar>
          </w:tcPr>
          <w:p>
            <w:r>
              <w:rPr>
                <w:b w:val="false"/>
                <w:bCs w:val="false"/>
              </w:rPr>
              <w:t xml:space="preserve">Disaster recovery (RTO/RPO to be set)</w:t>
            </w:r>
          </w:p>
        </w:tc>
        <w:tc>
          <w:tcPr>
            <w:tcW w:type="dxa" w:w="3826"/>
            <w:tcMar>
              <w:top w:type="dxa" w:w="40"/>
              <w:left w:type="dxa" w:w="90"/>
              <w:bottom w:type="dxa" w:w="40"/>
              <w:right w:type="dxa" w:w="90"/>
            </w:tcMar>
          </w:tcPr>
          <w:p>
            <w:r>
              <w:rPr>
                <w:b w:val="false"/>
                <w:bCs w:val="false"/>
              </w:rPr>
              <w:t xml:space="preserve">Secondary runtime + config replication</w:t>
            </w:r>
          </w:p>
        </w:tc>
      </w:tr>
      <w:tr>
        <w:trPr>
          <w:tblHeader w:val="false"/>
        </w:trPr>
        <w:tc>
          <w:tcPr>
            <w:tcW w:type="dxa" w:w="1300"/>
            <w:tcMar>
              <w:top w:type="dxa" w:w="40"/>
              <w:left w:type="dxa" w:w="90"/>
              <w:bottom w:type="dxa" w:w="40"/>
              <w:right w:type="dxa" w:w="90"/>
            </w:tcMar>
          </w:tcPr>
          <w:p>
            <w:r>
              <w:rPr>
                <w:b w:val="false"/>
                <w:bCs w:val="false"/>
              </w:rPr>
              <w:t xml:space="preserve">NFR-03</w:t>
            </w:r>
          </w:p>
        </w:tc>
        <w:tc>
          <w:tcPr>
            <w:tcW w:type="dxa" w:w="3900"/>
            <w:tcMar>
              <w:top w:type="dxa" w:w="40"/>
              <w:left w:type="dxa" w:w="90"/>
              <w:bottom w:type="dxa" w:w="40"/>
              <w:right w:type="dxa" w:w="90"/>
            </w:tcMar>
          </w:tcPr>
          <w:p>
            <w:r>
              <w:rPr>
                <w:b w:val="false"/>
                <w:bCs w:val="false"/>
              </w:rPr>
              <w:t xml:space="preserve">Scalability under peak batch</w:t>
            </w:r>
          </w:p>
        </w:tc>
        <w:tc>
          <w:tcPr>
            <w:tcW w:type="dxa" w:w="3826"/>
            <w:tcMar>
              <w:top w:type="dxa" w:w="40"/>
              <w:left w:type="dxa" w:w="90"/>
              <w:bottom w:type="dxa" w:w="40"/>
              <w:right w:type="dxa" w:w="90"/>
            </w:tcMar>
          </w:tcPr>
          <w:p>
            <w:r>
              <w:rPr>
                <w:b w:val="false"/>
                <w:bCs w:val="false"/>
              </w:rPr>
              <w:t xml:space="preserve">Elastic cloud components + horizontal Atoms</w:t>
            </w:r>
          </w:p>
        </w:tc>
      </w:tr>
      <w:tr>
        <w:trPr>
          <w:tblHeader w:val="false"/>
        </w:trPr>
        <w:tc>
          <w:tcPr>
            <w:tcW w:type="dxa" w:w="1300"/>
            <w:tcMar>
              <w:top w:type="dxa" w:w="40"/>
              <w:left w:type="dxa" w:w="90"/>
              <w:bottom w:type="dxa" w:w="40"/>
              <w:right w:type="dxa" w:w="90"/>
            </w:tcMar>
          </w:tcPr>
          <w:p>
            <w:r>
              <w:rPr>
                <w:b w:val="false"/>
                <w:bCs w:val="false"/>
              </w:rPr>
              <w:t xml:space="preserve">NFR-04</w:t>
            </w:r>
          </w:p>
        </w:tc>
        <w:tc>
          <w:tcPr>
            <w:tcW w:type="dxa" w:w="3900"/>
            <w:tcMar>
              <w:top w:type="dxa" w:w="40"/>
              <w:left w:type="dxa" w:w="90"/>
              <w:bottom w:type="dxa" w:w="40"/>
              <w:right w:type="dxa" w:w="90"/>
            </w:tcMar>
          </w:tcPr>
          <w:p>
            <w:r>
              <w:rPr>
                <w:b w:val="false"/>
                <w:bCs w:val="false"/>
              </w:rPr>
              <w:t xml:space="preserve">Security &amp; data protection (OFFICIAL)</w:t>
            </w:r>
          </w:p>
        </w:tc>
        <w:tc>
          <w:tcPr>
            <w:tcW w:type="dxa" w:w="3826"/>
            <w:tcMar>
              <w:top w:type="dxa" w:w="40"/>
              <w:left w:type="dxa" w:w="90"/>
              <w:bottom w:type="dxa" w:w="40"/>
              <w:right w:type="dxa" w:w="90"/>
            </w:tcMar>
          </w:tcPr>
          <w:p>
            <w:r>
              <w:rPr>
                <w:b w:val="false"/>
                <w:bCs w:val="false"/>
              </w:rPr>
              <w:t xml:space="preserve">Encryption, RBAC, segregation, key custody</w:t>
            </w:r>
          </w:p>
        </w:tc>
      </w:tr>
      <w:tr>
        <w:trPr>
          <w:tblHeader w:val="false"/>
        </w:trPr>
        <w:tc>
          <w:tcPr>
            <w:tcW w:type="dxa" w:w="1300"/>
            <w:tcMar>
              <w:top w:type="dxa" w:w="40"/>
              <w:left w:type="dxa" w:w="90"/>
              <w:bottom w:type="dxa" w:w="40"/>
              <w:right w:type="dxa" w:w="90"/>
            </w:tcMar>
          </w:tcPr>
          <w:p>
            <w:r>
              <w:rPr>
                <w:b w:val="false"/>
                <w:bCs w:val="false"/>
              </w:rPr>
              <w:t xml:space="preserve">NFR-05</w:t>
            </w:r>
          </w:p>
        </w:tc>
        <w:tc>
          <w:tcPr>
            <w:tcW w:type="dxa" w:w="3900"/>
            <w:tcMar>
              <w:top w:type="dxa" w:w="40"/>
              <w:left w:type="dxa" w:w="90"/>
              <w:bottom w:type="dxa" w:w="40"/>
              <w:right w:type="dxa" w:w="90"/>
            </w:tcMar>
          </w:tcPr>
          <w:p>
            <w:r>
              <w:rPr>
                <w:b w:val="false"/>
                <w:bCs w:val="false"/>
              </w:rPr>
              <w:t xml:space="preserve">Auditability &amp; retention</w:t>
            </w:r>
          </w:p>
        </w:tc>
        <w:tc>
          <w:tcPr>
            <w:tcW w:type="dxa" w:w="3826"/>
            <w:tcMar>
              <w:top w:type="dxa" w:w="40"/>
              <w:left w:type="dxa" w:w="90"/>
              <w:bottom w:type="dxa" w:w="40"/>
              <w:right w:type="dxa" w:w="90"/>
            </w:tcMar>
          </w:tcPr>
          <w:p>
            <w:r>
              <w:rPr>
                <w:b w:val="false"/>
                <w:bCs w:val="false"/>
              </w:rPr>
              <w:t xml:space="preserve">Immutable transfer log + long-term archive</w:t>
            </w:r>
          </w:p>
        </w:tc>
      </w:tr>
      <w:tr>
        <w:trPr>
          <w:tblHeader w:val="false"/>
        </w:trPr>
        <w:tc>
          <w:tcPr>
            <w:tcW w:type="dxa" w:w="1300"/>
            <w:tcMar>
              <w:top w:type="dxa" w:w="40"/>
              <w:left w:type="dxa" w:w="90"/>
              <w:bottom w:type="dxa" w:w="40"/>
              <w:right w:type="dxa" w:w="90"/>
            </w:tcMar>
          </w:tcPr>
          <w:p>
            <w:r>
              <w:rPr>
                <w:b w:val="false"/>
                <w:bCs w:val="false"/>
              </w:rPr>
              <w:t xml:space="preserve">NFR-06</w:t>
            </w:r>
          </w:p>
        </w:tc>
        <w:tc>
          <w:tcPr>
            <w:tcW w:type="dxa" w:w="3900"/>
            <w:tcMar>
              <w:top w:type="dxa" w:w="40"/>
              <w:left w:type="dxa" w:w="90"/>
              <w:bottom w:type="dxa" w:w="40"/>
              <w:right w:type="dxa" w:w="90"/>
            </w:tcMar>
          </w:tcPr>
          <w:p>
            <w:r>
              <w:rPr>
                <w:b w:val="false"/>
                <w:bCs w:val="false"/>
              </w:rPr>
              <w:t xml:space="preserve">Observability</w:t>
            </w:r>
          </w:p>
        </w:tc>
        <w:tc>
          <w:tcPr>
            <w:tcW w:type="dxa" w:w="3826"/>
            <w:tcMar>
              <w:top w:type="dxa" w:w="40"/>
              <w:left w:type="dxa" w:w="90"/>
              <w:bottom w:type="dxa" w:w="40"/>
              <w:right w:type="dxa" w:w="90"/>
            </w:tcMar>
          </w:tcPr>
          <w:p>
            <w:r>
              <w:rPr>
                <w:b w:val="false"/>
                <w:bCs w:val="false"/>
              </w:rPr>
              <w:t xml:space="preserve">OpenTelemetry export to SIEM</w:t>
            </w:r>
          </w:p>
        </w:tc>
      </w:tr>
      <w:tr>
        <w:trPr>
          <w:tblHeader w:val="false"/>
        </w:trPr>
        <w:tc>
          <w:tcPr>
            <w:tcW w:type="dxa" w:w="1300"/>
            <w:tcMar>
              <w:top w:type="dxa" w:w="40"/>
              <w:left w:type="dxa" w:w="90"/>
              <w:bottom w:type="dxa" w:w="40"/>
              <w:right w:type="dxa" w:w="90"/>
            </w:tcMar>
          </w:tcPr>
          <w:p>
            <w:r>
              <w:rPr>
                <w:b w:val="false"/>
                <w:bCs w:val="false"/>
              </w:rPr>
              <w:t xml:space="preserve">NFR-07</w:t>
            </w:r>
          </w:p>
        </w:tc>
        <w:tc>
          <w:tcPr>
            <w:tcW w:type="dxa" w:w="3900"/>
            <w:tcMar>
              <w:top w:type="dxa" w:w="40"/>
              <w:left w:type="dxa" w:w="90"/>
              <w:bottom w:type="dxa" w:w="40"/>
              <w:right w:type="dxa" w:w="90"/>
            </w:tcMar>
          </w:tcPr>
          <w:p>
            <w:r>
              <w:rPr>
                <w:b w:val="false"/>
                <w:bCs w:val="false"/>
              </w:rPr>
              <w:t xml:space="preserve">Data residency (UK) for OFFICIAL</w:t>
            </w:r>
          </w:p>
        </w:tc>
        <w:tc>
          <w:tcPr>
            <w:tcW w:type="dxa" w:w="3826"/>
            <w:tcMar>
              <w:top w:type="dxa" w:w="40"/>
              <w:left w:type="dxa" w:w="90"/>
              <w:bottom w:type="dxa" w:w="40"/>
              <w:right w:type="dxa" w:w="90"/>
            </w:tcMar>
          </w:tcPr>
          <w:p>
            <w:r>
              <w:rPr>
                <w:b w:val="false"/>
                <w:bCs w:val="false"/>
              </w:rPr>
              <w:t xml:space="preserve">Hybrid: payload on-prem; confirm cloud-service region</w:t>
            </w:r>
          </w:p>
        </w:tc>
      </w:tr>
    </w:tbl>
    <w:p>
      <w:pPr>
        <w:pStyle w:val="Heading1"/>
        <w:spacing w:after="120" w:before="260"/>
      </w:pPr>
      <w:r>
        <w:rPr>
          <w:b/>
          <w:bCs/>
          <w:color w:val="12123A"/>
        </w:rPr>
        <w:t xml:space="preserve">7  Boomi MFT capabilities (Thru)</w:t>
      </w:r>
    </w:p>
    <w:p>
      <w:pPr>
        <w:spacing w:after="100"/>
      </w:pPr>
      <w:r>
        <w:t xml:space="preserve">Boomi MFT is delivered as part of the Boomi Enterprise Platform. It is a storage-based, cloud-native MFT service (from the Thru acquisition) that provides persistence, scheduling, fault tolerance, monitoring, audit logging and security for file-based data exchange, and integrates directly with Boomi Integration processes so that file flows and data-processing flows are managed together.</w:t>
      </w:r>
    </w:p>
    <w:p>
      <w:pPr>
        <w:pStyle w:val="Heading2"/>
        <w:spacing w:after="80" w:before="160"/>
      </w:pPr>
      <w:r>
        <w:rPr>
          <w:b/>
          <w:bCs/>
          <w:color w:val="12123A"/>
        </w:rPr>
        <w:t xml:space="preserve">7.1  Core capabilities</w:t>
      </w:r>
    </w:p>
    <w:p>
      <w:pPr>
        <w:pStyle w:val="ListParagraph"/>
        <w:numPr>
          <w:ilvl w:val="0"/>
          <w:numId w:val="1"/>
        </w:numPr>
        <w:spacing w:after="40"/>
      </w:pPr>
      <w:r>
        <w:t xml:space="preserve">Fully managed, cloud-native service: persistence, scheduling, monitoring, audit and security are provided by the platform, not built per interface.</w:t>
      </w:r>
    </w:p>
    <w:p>
      <w:pPr>
        <w:pStyle w:val="ListParagraph"/>
        <w:numPr>
          <w:ilvl w:val="0"/>
          <w:numId w:val="1"/>
        </w:numPr>
        <w:spacing w:after="40"/>
      </w:pPr>
      <w:r>
        <w:t xml:space="preserve">Runtime agents as brokers: customer-managed MFT runtime agents act as the brokers that perform the actual file movement — both external (north-south) transfers with partners and internal (east-west) transfers between systems inside the trusted zone.</w:t>
      </w:r>
    </w:p>
    <w:p>
      <w:pPr>
        <w:pStyle w:val="ListParagraph"/>
        <w:numPr>
          <w:ilvl w:val="0"/>
          <w:numId w:val="1"/>
        </w:numPr>
        <w:spacing w:after="40"/>
      </w:pPr>
      <w:r>
        <w:t xml:space="preserve">Protocols &amp; endpoints: SFTP, FTPS and AS2, organised under Organizations → Endpoints → Flows; the MFT SFTP server operates on port 22 with full SSH authentication.</w:t>
      </w:r>
    </w:p>
    <w:p>
      <w:pPr>
        <w:pStyle w:val="ListParagraph"/>
        <w:numPr>
          <w:ilvl w:val="0"/>
          <w:numId w:val="1"/>
        </w:numPr>
        <w:spacing w:after="40"/>
      </w:pPr>
      <w:r>
        <w:t xml:space="preserve">Trading-partner connectivity: partner/community model for onboarding external parties.</w:t>
      </w:r>
    </w:p>
    <w:p>
      <w:pPr>
        <w:pStyle w:val="ListParagraph"/>
        <w:numPr>
          <w:ilvl w:val="0"/>
          <w:numId w:val="1"/>
        </w:numPr>
        <w:spacing w:after="40"/>
      </w:pPr>
      <w:r>
        <w:t xml:space="preserve">Persistence &amp; guaranteed delivery: files are persisted with automatic retry and fault tolerance so transfers survive transient failures.</w:t>
      </w:r>
    </w:p>
    <w:p>
      <w:pPr>
        <w:pStyle w:val="ListParagraph"/>
        <w:numPr>
          <w:ilvl w:val="0"/>
          <w:numId w:val="1"/>
        </w:numPr>
        <w:spacing w:after="40"/>
      </w:pPr>
      <w:r>
        <w:t xml:space="preserve">Event-driven integration: file arrival can trigger a Boomi Integration process for validation, transformation and routing (the MFT Connector bridges file flows and processing flows).</w:t>
      </w:r>
    </w:p>
    <w:p>
      <w:pPr>
        <w:pStyle w:val="ListParagraph"/>
        <w:numPr>
          <w:ilvl w:val="0"/>
          <w:numId w:val="1"/>
        </w:numPr>
        <w:spacing w:after="40"/>
      </w:pPr>
      <w:r>
        <w:t xml:space="preserve">Security: PGP encryption/decryption including ASCII-armor (.asc); TLS/SSH in transit; RBAC on the platform.</w:t>
      </w:r>
    </w:p>
    <w:p>
      <w:pPr>
        <w:pStyle w:val="ListParagraph"/>
        <w:numPr>
          <w:ilvl w:val="0"/>
          <w:numId w:val="1"/>
        </w:numPr>
        <w:spacing w:after="40"/>
      </w:pPr>
      <w:r>
        <w:t xml:space="preserve">In-flight file handling: TAR archive/extract (with optional compression) directly in Flow Endpoints; filename-pattern matching and post-actions.</w:t>
      </w:r>
    </w:p>
    <w:p>
      <w:pPr>
        <w:pStyle w:val="ListParagraph"/>
        <w:numPr>
          <w:ilvl w:val="0"/>
          <w:numId w:val="1"/>
        </w:numPr>
        <w:spacing w:after="40"/>
      </w:pPr>
      <w:r>
        <w:t xml:space="preserve">Tracking &amp; audit: end-to-end visibility of every transfer with delivery confirmation and audit logging — a single source of truth for all file movement.</w:t>
      </w:r>
    </w:p>
    <w:p>
      <w:pPr>
        <w:pStyle w:val="ListParagraph"/>
        <w:numPr>
          <w:ilvl w:val="0"/>
          <w:numId w:val="1"/>
        </w:numPr>
        <w:spacing w:after="40"/>
      </w:pPr>
      <w:r>
        <w:t xml:space="preserve">Scheduling &amp; automation: time-based automated file transfer with schedule history.</w:t>
      </w:r>
    </w:p>
    <w:p>
      <w:pPr>
        <w:pStyle w:val="ListParagraph"/>
        <w:numPr>
          <w:ilvl w:val="0"/>
          <w:numId w:val="1"/>
        </w:numPr>
        <w:spacing w:after="40"/>
      </w:pPr>
      <w:r>
        <w:t xml:space="preserve">Observability: OpenTelemetry export of metrics, logs and traces to external monitoring tools, plus runtime heartbeat/health telemetry.</w:t>
      </w:r>
    </w:p>
    <w:p>
      <w:pPr>
        <w:pStyle w:val="ListParagraph"/>
        <w:numPr>
          <w:ilvl w:val="0"/>
          <w:numId w:val="1"/>
        </w:numPr>
        <w:spacing w:after="40"/>
      </w:pPr>
      <w:r>
        <w:t xml:space="preserve">Hybrid runtime: MFT cloud components, MFT runtimes deployable on customer premises, and the MFT Connector inside integration processes.</w:t>
      </w:r>
    </w:p>
    <w:p>
      <w:pPr>
        <w:pStyle w:val="Heading2"/>
        <w:spacing w:after="80" w:before="160"/>
      </w:pPr>
      <w:r>
        <w:rPr>
          <w:b/>
          <w:bCs/>
          <w:color w:val="12123A"/>
        </w:rPr>
        <w:t xml:space="preserve">7.2  Antivirus / malware scanning and placement</w:t>
      </w:r>
    </w:p>
    <w:p>
      <w:pPr>
        <w:spacing w:after="100"/>
      </w:pPr>
      <w:r>
        <w:t xml:space="preserve">Boomi MFT performs antivirus scanning on files as they move through the managed service. Infected files are automatically quarantined so they are never delivered to the target endpoint. The vendor describes AV, file-level encryption and a full audit trail as controls built into each layer; treat the vendor’s zero-trust and SOC 2 characterisations as vendor-stated and validate them against HMRC security assurance (see Open questions).</w:t>
      </w:r>
    </w:p>
    <w:p>
      <w:pPr>
        <w:pStyle w:val="ListParagraph"/>
        <w:numPr>
          <w:ilvl w:val="0"/>
          <w:numId w:val="1"/>
        </w:numPr>
        <w:spacing w:after="40"/>
      </w:pPr>
      <w:r>
        <w:t xml:space="preserve">Placement (external): the cloud service scans files in flight through the managed service before delivery. On the multi-tenant automated service this applies to files up to approximately 250 MB.</w:t>
      </w:r>
    </w:p>
    <w:p>
      <w:pPr>
        <w:pStyle w:val="ListParagraph"/>
        <w:numPr>
          <w:ilvl w:val="0"/>
          <w:numId w:val="1"/>
        </w:numPr>
        <w:spacing w:after="40"/>
      </w:pPr>
      <w:r>
        <w:t xml:space="preserve">Current limitation: cloud AV does not automatically cover internal (east-west) runtime transfers, and the ~250 MB ceiling is a real constraint for large tax/customs payloads.</w:t>
      </w:r>
    </w:p>
    <w:p>
      <w:pPr>
        <w:pStyle w:val="ListParagraph"/>
        <w:numPr>
          <w:ilvl w:val="0"/>
          <w:numId w:val="1"/>
        </w:numPr>
        <w:spacing w:after="40"/>
      </w:pPr>
      <w:r>
        <w:t xml:space="preserve">Planned enhancement (runtime AV scanning patch): a runtime-side AV scanning capability is planned so scanning can also be applied at the runtime agent — covering east-west transfers and larger files. Confirm the GA date and coverage before relying on it.</w:t>
      </w:r>
    </w:p>
    <w:p>
      <w:pPr>
        <w:pStyle w:val="ListParagraph"/>
        <w:numPr>
          <w:ilvl w:val="0"/>
          <w:numId w:val="1"/>
        </w:numPr>
        <w:spacing w:after="40"/>
      </w:pPr>
      <w:r>
        <w:t xml:space="preserve">Defence in depth: AV scanning complements, rather than replaces, enterprise endpoint AV and any ICAP/DLP controls already in the estate.</w:t>
      </w: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5e8" w:val="clear"/>
            <w:tcMar>
              <w:top w:type="dxa" w:w="100"/>
              <w:left w:type="dxa" w:w="150"/>
              <w:bottom w:type="dxa" w:w="100"/>
              <w:right w:type="dxa" w:w="150"/>
            </w:tcMar>
          </w:tcPr>
          <w:p>
            <w:pPr>
              <w:spacing w:after="60"/>
            </w:pPr>
            <w:r>
              <w:rPr>
                <w:b/>
                <w:bCs/>
                <w:color w:val="8a5a00"/>
              </w:rPr>
              <w:t xml:space="preserve">Design consideration — AV coverage and scan size</w:t>
            </w:r>
          </w:p>
          <w:p>
            <w:pPr>
              <w:spacing w:after="40"/>
            </w:pPr>
            <w:r>
              <w:t xml:space="preserve">Confirm the maximum in-scope file size, whether a dedicated/single-tenant configuration or chunking is needed for oversize files, and the GA date of the runtime AV scanning patch for east-west transfers. Raise as a decision needing a named owner (Open questions).</w:t>
            </w:r>
          </w:p>
        </w:tc>
      </w:tr>
    </w:tbl>
    <w:p>
      <w:pPr>
        <w:pStyle w:val="Heading2"/>
        <w:spacing w:after="80" w:before="160"/>
      </w:pPr>
      <w:r>
        <w:rPr>
          <w:b/>
          <w:bCs/>
          <w:color w:val="12123A"/>
        </w:rPr>
        <w:t xml:space="preserve">7.3  Automated File Transfer (AFT)</w:t>
      </w:r>
    </w:p>
    <w:p>
      <w:pPr>
        <w:spacing w:after="100"/>
      </w:pPr>
      <w:r>
        <w:t xml:space="preserve">Automated File Transfer is the scheduled and event-driven, system-to-system mode this solution is built on. Files move automatically between endpoints with no human in the loop, and each transfer is expressed as configuration (endpoint + flow + schedule) consumed by the generic engine, consistent with config over construction.</w:t>
      </w:r>
    </w:p>
    <w:p>
      <w:pPr>
        <w:pStyle w:val="ListParagraph"/>
        <w:numPr>
          <w:ilvl w:val="0"/>
          <w:numId w:val="1"/>
        </w:numPr>
        <w:spacing w:after="40"/>
      </w:pPr>
      <w:r>
        <w:t xml:space="preserve">Scheduled and event-triggered transfers; a single flow can handle many-to-many endpoints with routing, renaming, encryption and compression.</w:t>
      </w:r>
    </w:p>
    <w:p>
      <w:pPr>
        <w:pStyle w:val="ListParagraph"/>
        <w:numPr>
          <w:ilvl w:val="0"/>
          <w:numId w:val="1"/>
        </w:numPr>
        <w:spacing w:after="40"/>
      </w:pPr>
      <w:r>
        <w:t xml:space="preserve">Guaranteed delivery and persistence with retry, auto-resume, exception handling and notifications.</w:t>
      </w:r>
    </w:p>
    <w:p>
      <w:pPr>
        <w:pStyle w:val="ListParagraph"/>
        <w:numPr>
          <w:ilvl w:val="0"/>
          <w:numId w:val="1"/>
        </w:numPr>
        <w:spacing w:after="40"/>
      </w:pPr>
      <w:r>
        <w:t xml:space="preserve">Reusable endpoints and automated partner onboarding; file transfer separated from business logic and invoked via the MFT Connector.</w:t>
      </w:r>
    </w:p>
    <w:p>
      <w:pPr>
        <w:pStyle w:val="ListParagraph"/>
        <w:numPr>
          <w:ilvl w:val="0"/>
          <w:numId w:val="1"/>
        </w:numPr>
        <w:spacing w:after="40"/>
      </w:pPr>
      <w:r>
        <w:t xml:space="preserve">Distributed hybrid execution: cloud-orchestrated, with on-premises runtime agents performing internal (east-west) transfers inside the trusted zone.</w:t>
      </w:r>
    </w:p>
    <w:p>
      <w:pPr>
        <w:pStyle w:val="Heading2"/>
        <w:spacing w:after="80" w:before="160"/>
      </w:pPr>
      <w:r>
        <w:rPr>
          <w:b/>
          <w:bCs/>
          <w:color w:val="12123A"/>
        </w:rPr>
        <w:t xml:space="preserve">7.4  Ad-hoc file sharing (person-to-person / EFSS)</w:t>
      </w:r>
    </w:p>
    <w:p>
      <w:pPr>
        <w:spacing w:after="100"/>
      </w:pPr>
      <w:r>
        <w:t xml:space="preserve">Alongside automated transfer, the platform (from Thru’s heritage) provides ad-hoc, user-centric secure file sharing that carries the same governance, AV scanning, encryption and audit trail as automated flows, so it is governed rather than shadow IT. Whether this is in scope for the programme is a scoping decision; if enabled it needs its own governance (external-recipient policy, DLP, retention, link-expiry) — flagged for the Design Authority.</w:t>
      </w:r>
    </w:p>
    <w:p>
      <w:pPr>
        <w:pStyle w:val="Heading1"/>
        <w:spacing w:after="120" w:before="260"/>
      </w:pPr>
      <w:r>
        <w:rPr>
          <w:b/>
          <w:bCs/>
          <w:color w:val="12123A"/>
        </w:rPr>
        <w:t xml:space="preserve">8  Solution architecture</w:t>
      </w:r>
    </w:p>
    <w:p>
      <w:pPr>
        <w:spacing w:after="100"/>
      </w:pPr>
      <w:r>
        <w:t xml:space="preserve">The external estate — third-party consumers/OGDs, MDTP and the iPaaS SaaS systems — exchanges files with the Boomi cloud service. Across the external/internal trust boundary, customer-managed runtime agents host the config-driven generic MFT engine and deliver to / collect from the HoD applications and the incumbent ESDES and SDS. Only tracking metadata crosses the boundary to the cloud. The editable draw.io source accompanies this document.</w:t>
      </w:r>
    </w:p>
    <w:p>
      <w:pPr>
        <w:spacing w:after="40" w:before="120"/>
        <w:jc w:val="center"/>
      </w:pPr>
      <w:r>
        <w:drawing>
          <wp:inline distT="0" distB="0" distL="0" distR="0">
            <wp:extent cx="6096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191000"/>
                    </a:xfrm>
                    <a:prstGeom prst="rect">
                      <a:avLst/>
                    </a:prstGeom>
                  </pic:spPr>
                </pic:pic>
              </a:graphicData>
            </a:graphic>
          </wp:inline>
        </w:drawing>
      </w:r>
    </w:p>
    <w:p>
      <w:pPr>
        <w:spacing w:after="120"/>
        <w:jc w:val="center"/>
      </w:pPr>
      <w:r>
        <w:rPr>
          <w:i/>
          <w:iCs/>
          <w:color w:val="5b6b7d"/>
        </w:rPr>
        <w:t xml:space="preserve">Figure 1 — MFT on Boomi: architecture with numbered flows, trigger and AV placement</w:t>
      </w:r>
    </w:p>
    <w:p>
      <w:pPr>
        <w:pStyle w:val="Heading2"/>
        <w:spacing w:after="80" w:before="160"/>
      </w:pPr>
      <w:r>
        <w:rPr>
          <w:b/>
          <w:bCs/>
          <w:color w:val="12123A"/>
        </w:rPr>
        <w:t xml:space="preserve">8.1  Numbered file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2123A" w:val="clear"/>
            <w:tcMar>
              <w:top w:type="dxa" w:w="40"/>
              <w:left w:type="dxa" w:w="90"/>
              <w:bottom w:type="dxa" w:w="40"/>
              <w:right w:type="dxa" w:w="90"/>
            </w:tcMar>
          </w:tcPr>
          <w:p>
            <w:r>
              <w:rPr>
                <w:b/>
                <w:bCs/>
                <w:color w:val="FFFFFF"/>
              </w:rPr>
              <w:t xml:space="preserve">#</w:t>
            </w:r>
          </w:p>
        </w:tc>
        <w:tc>
          <w:tcPr>
            <w:tcW w:type="dxa" w:w="8126"/>
            <w:shd w:fill="12123A" w:val="clear"/>
            <w:tcMar>
              <w:top w:type="dxa" w:w="40"/>
              <w:left w:type="dxa" w:w="90"/>
              <w:bottom w:type="dxa" w:w="40"/>
              <w:right w:type="dxa" w:w="90"/>
            </w:tcMar>
          </w:tcPr>
          <w:p>
            <w:r>
              <w:rPr>
                <w:b/>
                <w:bCs/>
                <w:color w:val="FFFFFF"/>
              </w:rPr>
              <w:t xml:space="preserve">Flow</w:t>
            </w:r>
          </w:p>
        </w:tc>
      </w:tr>
      <w:tr>
        <w:trPr>
          <w:tblHeader w:val="false"/>
        </w:trPr>
        <w:tc>
          <w:tcPr>
            <w:tcW w:type="dxa" w:w="900"/>
            <w:tcMar>
              <w:top w:type="dxa" w:w="40"/>
              <w:left w:type="dxa" w:w="90"/>
              <w:bottom w:type="dxa" w:w="40"/>
              <w:right w:type="dxa" w:w="90"/>
            </w:tcMar>
          </w:tcPr>
          <w:p>
            <w:r>
              <w:rPr>
                <w:b w:val="false"/>
                <w:bCs w:val="false"/>
              </w:rPr>
              <w:t xml:space="preserve">1</w:t>
            </w:r>
          </w:p>
        </w:tc>
        <w:tc>
          <w:tcPr>
            <w:tcW w:type="dxa" w:w="8126"/>
            <w:tcMar>
              <w:top w:type="dxa" w:w="40"/>
              <w:left w:type="dxa" w:w="90"/>
              <w:bottom w:type="dxa" w:w="40"/>
              <w:right w:type="dxa" w:w="90"/>
            </w:tcMar>
          </w:tcPr>
          <w:p>
            <w:r>
              <w:rPr>
                <w:b w:val="false"/>
                <w:bCs w:val="false"/>
              </w:rPr>
              <w:t xml:space="preserve">Inbound push: partner authenticates (SSH key / certificate) and pushes to the listener; the file lands in the encrypted landing zone.</w:t>
            </w:r>
          </w:p>
        </w:tc>
      </w:tr>
      <w:tr>
        <w:trPr>
          <w:tblHeader w:val="false"/>
        </w:trPr>
        <w:tc>
          <w:tcPr>
            <w:tcW w:type="dxa" w:w="900"/>
            <w:tcMar>
              <w:top w:type="dxa" w:w="40"/>
              <w:left w:type="dxa" w:w="90"/>
              <w:bottom w:type="dxa" w:w="40"/>
              <w:right w:type="dxa" w:w="90"/>
            </w:tcMar>
          </w:tcPr>
          <w:p>
            <w:r>
              <w:rPr>
                <w:b w:val="false"/>
                <w:bCs w:val="false"/>
              </w:rPr>
              <w:t xml:space="preserve">2</w:t>
            </w:r>
          </w:p>
        </w:tc>
        <w:tc>
          <w:tcPr>
            <w:tcW w:type="dxa" w:w="8126"/>
            <w:tcMar>
              <w:top w:type="dxa" w:w="40"/>
              <w:left w:type="dxa" w:w="90"/>
              <w:bottom w:type="dxa" w:w="40"/>
              <w:right w:type="dxa" w:w="90"/>
            </w:tcMar>
          </w:tcPr>
          <w:p>
            <w:r>
              <w:rPr>
                <w:b w:val="false"/>
                <w:bCs w:val="false"/>
              </w:rPr>
              <w:t xml:space="preserve">Event trigger: a file-arrival event starts the generic engine. Scheduled polling triggers it the same way.</w:t>
            </w:r>
          </w:p>
        </w:tc>
      </w:tr>
      <w:tr>
        <w:trPr>
          <w:tblHeader w:val="false"/>
        </w:trPr>
        <w:tc>
          <w:tcPr>
            <w:tcW w:type="dxa" w:w="900"/>
            <w:tcMar>
              <w:top w:type="dxa" w:w="40"/>
              <w:left w:type="dxa" w:w="90"/>
              <w:bottom w:type="dxa" w:w="40"/>
              <w:right w:type="dxa" w:w="90"/>
            </w:tcMar>
          </w:tcPr>
          <w:p>
            <w:r>
              <w:rPr>
                <w:b w:val="false"/>
                <w:bCs w:val="false"/>
              </w:rPr>
              <w:t xml:space="preserve">3</w:t>
            </w:r>
          </w:p>
        </w:tc>
        <w:tc>
          <w:tcPr>
            <w:tcW w:type="dxa" w:w="8126"/>
            <w:tcMar>
              <w:top w:type="dxa" w:w="40"/>
              <w:left w:type="dxa" w:w="90"/>
              <w:bottom w:type="dxa" w:w="40"/>
              <w:right w:type="dxa" w:w="90"/>
            </w:tcMar>
          </w:tcPr>
          <w:p>
            <w:r>
              <w:rPr>
                <w:b w:val="false"/>
                <w:bCs w:val="false"/>
              </w:rPr>
              <w:t xml:space="preserve">The engine reads the matching config / routing catalogue row (source, target, PGP keys, schedule, pattern, post-actions).</w:t>
            </w:r>
          </w:p>
        </w:tc>
      </w:tr>
      <w:tr>
        <w:trPr>
          <w:tblHeader w:val="false"/>
        </w:trPr>
        <w:tc>
          <w:tcPr>
            <w:tcW w:type="dxa" w:w="900"/>
            <w:tcMar>
              <w:top w:type="dxa" w:w="40"/>
              <w:left w:type="dxa" w:w="90"/>
              <w:bottom w:type="dxa" w:w="40"/>
              <w:right w:type="dxa" w:w="90"/>
            </w:tcMar>
          </w:tcPr>
          <w:p>
            <w:r>
              <w:rPr>
                <w:b w:val="false"/>
                <w:bCs w:val="false"/>
              </w:rPr>
              <w:t xml:space="preserve">4</w:t>
            </w:r>
          </w:p>
        </w:tc>
        <w:tc>
          <w:tcPr>
            <w:tcW w:type="dxa" w:w="8126"/>
            <w:tcMar>
              <w:top w:type="dxa" w:w="40"/>
              <w:left w:type="dxa" w:w="90"/>
              <w:bottom w:type="dxa" w:w="40"/>
              <w:right w:type="dxa" w:w="90"/>
            </w:tcMar>
          </w:tcPr>
          <w:p>
            <w:r>
              <w:rPr>
                <w:b w:val="false"/>
                <w:bCs w:val="false"/>
              </w:rPr>
              <w:t xml:space="preserve">Delivery to Heads-of-Duty applications via Boomi connector (north-south, into the backend estate).</w:t>
            </w:r>
          </w:p>
        </w:tc>
      </w:tr>
      <w:tr>
        <w:trPr>
          <w:tblHeader w:val="false"/>
        </w:trPr>
        <w:tc>
          <w:tcPr>
            <w:tcW w:type="dxa" w:w="900"/>
            <w:tcMar>
              <w:top w:type="dxa" w:w="40"/>
              <w:left w:type="dxa" w:w="90"/>
              <w:bottom w:type="dxa" w:w="40"/>
              <w:right w:type="dxa" w:w="90"/>
            </w:tcMar>
          </w:tcPr>
          <w:p>
            <w:r>
              <w:rPr>
                <w:b w:val="false"/>
                <w:bCs w:val="false"/>
              </w:rPr>
              <w:t xml:space="preserve">5</w:t>
            </w:r>
          </w:p>
        </w:tc>
        <w:tc>
          <w:tcPr>
            <w:tcW w:type="dxa" w:w="8126"/>
            <w:tcMar>
              <w:top w:type="dxa" w:w="40"/>
              <w:left w:type="dxa" w:w="90"/>
              <w:bottom w:type="dxa" w:w="40"/>
              <w:right w:type="dxa" w:w="90"/>
            </w:tcMar>
          </w:tcPr>
          <w:p>
            <w:r>
              <w:rPr>
                <w:b w:val="false"/>
                <w:bCs w:val="false"/>
              </w:rPr>
              <w:t xml:space="preserve">Coexistence: the engine collects from / delivers to the incumbent ESDES and SDS — Boomi MFT complements, it does not replace them.</w:t>
            </w:r>
          </w:p>
        </w:tc>
      </w:tr>
      <w:tr>
        <w:trPr>
          <w:tblHeader w:val="false"/>
        </w:trPr>
        <w:tc>
          <w:tcPr>
            <w:tcW w:type="dxa" w:w="900"/>
            <w:tcMar>
              <w:top w:type="dxa" w:w="40"/>
              <w:left w:type="dxa" w:w="90"/>
              <w:bottom w:type="dxa" w:w="40"/>
              <w:right w:type="dxa" w:w="90"/>
            </w:tcMar>
          </w:tcPr>
          <w:p>
            <w:r>
              <w:rPr>
                <w:b w:val="false"/>
                <w:bCs w:val="false"/>
              </w:rPr>
              <w:t xml:space="preserve">6</w:t>
            </w:r>
          </w:p>
        </w:tc>
        <w:tc>
          <w:tcPr>
            <w:tcW w:type="dxa" w:w="8126"/>
            <w:tcMar>
              <w:top w:type="dxa" w:w="40"/>
              <w:left w:type="dxa" w:w="90"/>
              <w:bottom w:type="dxa" w:w="40"/>
              <w:right w:type="dxa" w:w="90"/>
            </w:tcMar>
          </w:tcPr>
          <w:p>
            <w:r>
              <w:rPr>
                <w:b w:val="false"/>
                <w:bCs w:val="false"/>
              </w:rPr>
              <w:t xml:space="preserve">East-west: the runtime agent moves files between internal systems inside the trusted zone (runtime AV applies once the patch is GA).</w:t>
            </w:r>
          </w:p>
        </w:tc>
      </w:tr>
      <w:tr>
        <w:trPr>
          <w:tblHeader w:val="false"/>
        </w:trPr>
        <w:tc>
          <w:tcPr>
            <w:tcW w:type="dxa" w:w="900"/>
            <w:tcMar>
              <w:top w:type="dxa" w:w="40"/>
              <w:left w:type="dxa" w:w="90"/>
              <w:bottom w:type="dxa" w:w="40"/>
              <w:right w:type="dxa" w:w="90"/>
            </w:tcMar>
          </w:tcPr>
          <w:p>
            <w:r>
              <w:rPr>
                <w:b w:val="false"/>
                <w:bCs w:val="false"/>
              </w:rPr>
              <w:t xml:space="preserve">7</w:t>
            </w:r>
          </w:p>
        </w:tc>
        <w:tc>
          <w:tcPr>
            <w:tcW w:type="dxa" w:w="8126"/>
            <w:tcMar>
              <w:top w:type="dxa" w:w="40"/>
              <w:left w:type="dxa" w:w="90"/>
              <w:bottom w:type="dxa" w:w="40"/>
              <w:right w:type="dxa" w:w="90"/>
            </w:tcMar>
          </w:tcPr>
          <w:p>
            <w:r>
              <w:rPr>
                <w:b w:val="false"/>
                <w:bCs w:val="false"/>
              </w:rPr>
              <w:t xml:space="preserve">Tracking &amp; audit: only control / tracking metadata crosses the boundary to the cloud log (single source of truth).</w:t>
            </w:r>
          </w:p>
        </w:tc>
      </w:tr>
      <w:tr>
        <w:trPr>
          <w:tblHeader w:val="false"/>
        </w:trPr>
        <w:tc>
          <w:tcPr>
            <w:tcW w:type="dxa" w:w="900"/>
            <w:tcMar>
              <w:top w:type="dxa" w:w="40"/>
              <w:left w:type="dxa" w:w="90"/>
              <w:bottom w:type="dxa" w:w="40"/>
              <w:right w:type="dxa" w:w="90"/>
            </w:tcMar>
          </w:tcPr>
          <w:p>
            <w:r>
              <w:rPr>
                <w:b w:val="false"/>
                <w:bCs w:val="false"/>
              </w:rPr>
              <w:t xml:space="preserve">8</w:t>
            </w:r>
          </w:p>
        </w:tc>
        <w:tc>
          <w:tcPr>
            <w:tcW w:type="dxa" w:w="8126"/>
            <w:tcMar>
              <w:top w:type="dxa" w:w="40"/>
              <w:left w:type="dxa" w:w="90"/>
              <w:bottom w:type="dxa" w:w="40"/>
              <w:right w:type="dxa" w:w="90"/>
            </w:tcMar>
          </w:tcPr>
          <w:p>
            <w:r>
              <w:rPr>
                <w:b w:val="false"/>
                <w:bCs w:val="false"/>
              </w:rPr>
              <w:t xml:space="preserve">Outbound (estate → partner): reverse of flow 1 — the engine encrypts (PGP / ASCII-armor), optionally archives (TAR), and delivers to the partner endpoint.</w:t>
            </w:r>
          </w:p>
        </w:tc>
      </w:tr>
    </w:tbl>
    <w:p>
      <w:pPr>
        <w:pStyle w:val="Heading2"/>
        <w:spacing w:after="80" w:before="160"/>
      </w:pPr>
      <w:r>
        <w:rPr>
          <w:b/>
          <w:bCs/>
          <w:color w:val="12123A"/>
        </w:rPr>
        <w:t xml:space="preserve">8.2  Config over construction — the generic engine</w:t>
      </w:r>
    </w:p>
    <w:p>
      <w:pPr>
        <w:spacing w:after="100"/>
      </w:pPr>
      <w:r>
        <w:t xml:space="preserve">A single generic MFT engine process is the only file-moving component. Each approved interface is a configuration row in the routing catalogue: source and target endpoints, protocol, PGP key references, schedule, filename pattern and post-actions. Onboarding a new interface adds a row; it never adds a component. This is a low-code, reusable configuration approach rather than custom development, and it is validated against every capability in this design.</w:t>
      </w:r>
    </w:p>
    <w:tbl>
      <w:tblPr>
        <w:tblW w:type="dxa" w:w="9026"/>
        <w:tblBorders>
          <w:top w:val="single" w:color="2e6ca4" w:sz="2"/>
          <w:left w:val="single" w:color="2e6ca4" w:sz="18"/>
          <w:bottom w:val="single" w:color="2e6ca4" w:sz="2"/>
          <w:right w:val="single" w:color="2e6ca4" w:sz="2"/>
          <w:insideH w:val="none"/>
          <w:insideV w:val="none"/>
        </w:tblBorders>
      </w:tblPr>
      <w:tblGrid>
        <w:gridCol w:w="9026"/>
      </w:tblGrid>
      <w:tr>
        <w:tc>
          <w:tcPr>
            <w:tcW w:type="dxa" w:w="9026"/>
            <w:shd w:fill="eaf1f8" w:val="clear"/>
            <w:tcMar>
              <w:top w:type="dxa" w:w="100"/>
              <w:left w:type="dxa" w:w="150"/>
              <w:bottom w:type="dxa" w:w="100"/>
              <w:right w:type="dxa" w:w="150"/>
            </w:tcMar>
          </w:tcPr>
          <w:p>
            <w:pPr>
              <w:spacing w:after="60"/>
            </w:pPr>
            <w:r>
              <w:rPr>
                <w:b/>
                <w:bCs/>
                <w:color w:val="2e6ca4"/>
              </w:rPr>
              <w:t xml:space="preserve">Design guardrail</w:t>
            </w:r>
          </w:p>
          <w:p>
            <w:pPr>
              <w:spacing w:after="40"/>
            </w:pPr>
            <w:r>
              <w:t xml:space="preserve">Any requirement that cannot be expressed as configuration (e.g. bespoke content-based routing or complex per-file transformation) must be raised as a deviation to the Design Authority, with a named owner, before it is built — it is the point at which “construction” risks creeping back in.</w:t>
            </w:r>
          </w:p>
        </w:tc>
      </w:tr>
    </w:tbl>
    <w:p>
      <w:pPr>
        <w:pStyle w:val="Heading2"/>
        <w:spacing w:after="80" w:before="160"/>
      </w:pPr>
      <w:r>
        <w:rPr>
          <w:b/>
          <w:bCs/>
          <w:color w:val="12123A"/>
        </w:rPr>
        <w:t xml:space="preserve">8.3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2123A" w:val="clear"/>
            <w:tcMar>
              <w:top w:type="dxa" w:w="40"/>
              <w:left w:type="dxa" w:w="90"/>
              <w:bottom w:type="dxa" w:w="40"/>
              <w:right w:type="dxa" w:w="90"/>
            </w:tcMar>
          </w:tcPr>
          <w:p>
            <w:r>
              <w:rPr>
                <w:b/>
                <w:bCs/>
                <w:color w:val="FFFFFF"/>
              </w:rPr>
              <w:t xml:space="preserve">Tier</w:t>
            </w:r>
          </w:p>
        </w:tc>
        <w:tc>
          <w:tcPr>
            <w:tcW w:type="dxa" w:w="6426"/>
            <w:shd w:fill="12123A" w:val="clear"/>
            <w:tcMar>
              <w:top w:type="dxa" w:w="40"/>
              <w:left w:type="dxa" w:w="90"/>
              <w:bottom w:type="dxa" w:w="40"/>
              <w:right w:type="dxa" w:w="90"/>
            </w:tcMar>
          </w:tcPr>
          <w:p>
            <w:r>
              <w:rPr>
                <w:b/>
                <w:bCs/>
                <w:color w:val="FFFFFF"/>
              </w:rPr>
              <w:t xml:space="preserve">Contents &amp; purpose</w:t>
            </w:r>
          </w:p>
        </w:tc>
      </w:tr>
      <w:tr>
        <w:trPr>
          <w:tblHeader w:val="false"/>
        </w:trPr>
        <w:tc>
          <w:tcPr>
            <w:tcW w:type="dxa" w:w="2600"/>
            <w:tcMar>
              <w:top w:type="dxa" w:w="40"/>
              <w:left w:type="dxa" w:w="90"/>
              <w:bottom w:type="dxa" w:w="40"/>
              <w:right w:type="dxa" w:w="90"/>
            </w:tcMar>
          </w:tcPr>
          <w:p>
            <w:r>
              <w:rPr>
                <w:b/>
                <w:bCs/>
              </w:rPr>
              <w:t xml:space="preserve">Tier 1 — Consumers</w:t>
            </w:r>
          </w:p>
        </w:tc>
        <w:tc>
          <w:tcPr>
            <w:tcW w:type="dxa" w:w="6426"/>
            <w:tcMar>
              <w:top w:type="dxa" w:w="40"/>
              <w:left w:type="dxa" w:w="90"/>
              <w:bottom w:type="dxa" w:w="40"/>
              <w:right w:type="dxa" w:w="90"/>
            </w:tcMar>
          </w:tcPr>
          <w:p>
            <w:r>
              <w:rPr>
                <w:b w:val="false"/>
                <w:bCs w:val="false"/>
              </w:rPr>
              <w:t xml:space="preserve">External, cross-government, digital and SaaS systems that consume and produce transfers: third-party consumers/OGDs, MDTP, and the iPaaS SaaS systems S4H, CF/MSD, Pega, CDS.</w:t>
            </w:r>
          </w:p>
        </w:tc>
      </w:tr>
      <w:tr>
        <w:trPr>
          <w:tblHeader w:val="false"/>
        </w:trPr>
        <w:tc>
          <w:tcPr>
            <w:tcW w:type="dxa" w:w="2600"/>
            <w:tcMar>
              <w:top w:type="dxa" w:w="40"/>
              <w:left w:type="dxa" w:w="90"/>
              <w:bottom w:type="dxa" w:w="40"/>
              <w:right w:type="dxa" w:w="90"/>
            </w:tcMar>
          </w:tcPr>
          <w:p>
            <w:r>
              <w:rPr>
                <w:b/>
                <w:bCs/>
              </w:rPr>
              <w:t xml:space="preserve">Tier 2 — Boomi cloud service</w:t>
            </w:r>
          </w:p>
        </w:tc>
        <w:tc>
          <w:tcPr>
            <w:tcW w:type="dxa" w:w="6426"/>
            <w:tcMar>
              <w:top w:type="dxa" w:w="40"/>
              <w:left w:type="dxa" w:w="90"/>
              <w:bottom w:type="dxa" w:w="40"/>
              <w:right w:type="dxa" w:w="90"/>
            </w:tcMar>
          </w:tcPr>
          <w:p>
            <w:r>
              <w:rPr>
                <w:b w:val="false"/>
                <w:bCs w:val="false"/>
              </w:rPr>
              <w:t xml:space="preserve">The Boomi SaaS layer: integration &amp; API management, plus the MFT cloud components (SFTP/FTPS/AS2 listeners, encrypted landing zones, tracking/audit, keys, scheduling, OTel, RBAC). Confirm UK region for OFFICIAL.</w:t>
            </w:r>
          </w:p>
        </w:tc>
      </w:tr>
      <w:tr>
        <w:trPr>
          <w:tblHeader w:val="false"/>
        </w:trPr>
        <w:tc>
          <w:tcPr>
            <w:tcW w:type="dxa" w:w="2600"/>
            <w:tcMar>
              <w:top w:type="dxa" w:w="40"/>
              <w:left w:type="dxa" w:w="90"/>
              <w:bottom w:type="dxa" w:w="40"/>
              <w:right w:type="dxa" w:w="90"/>
            </w:tcMar>
          </w:tcPr>
          <w:p>
            <w:r>
              <w:rPr>
                <w:b/>
                <w:bCs/>
              </w:rPr>
              <w:t xml:space="preserve">Trust boundary</w:t>
            </w:r>
          </w:p>
        </w:tc>
        <w:tc>
          <w:tcPr>
            <w:tcW w:type="dxa" w:w="6426"/>
            <w:tcMar>
              <w:top w:type="dxa" w:w="40"/>
              <w:left w:type="dxa" w:w="90"/>
              <w:bottom w:type="dxa" w:w="40"/>
              <w:right w:type="dxa" w:w="90"/>
            </w:tcMar>
          </w:tcPr>
          <w:p>
            <w:r>
              <w:rPr>
                <w:b w:val="false"/>
                <w:bCs w:val="false"/>
              </w:rPr>
              <w:t xml:space="preserve">External/internal separation. Payloads stay within the trusted boundary; only tracking metadata surfaces to the cloud service.</w:t>
            </w:r>
          </w:p>
        </w:tc>
      </w:tr>
      <w:tr>
        <w:trPr>
          <w:tblHeader w:val="false"/>
        </w:trPr>
        <w:tc>
          <w:tcPr>
            <w:tcW w:type="dxa" w:w="2600"/>
            <w:tcMar>
              <w:top w:type="dxa" w:w="40"/>
              <w:left w:type="dxa" w:w="90"/>
              <w:bottom w:type="dxa" w:w="40"/>
              <w:right w:type="dxa" w:w="90"/>
            </w:tcMar>
          </w:tcPr>
          <w:p>
            <w:r>
              <w:rPr>
                <w:b/>
                <w:bCs/>
              </w:rPr>
              <w:t xml:space="preserve">Tier 3 — Runtime agents</w:t>
            </w:r>
          </w:p>
        </w:tc>
        <w:tc>
          <w:tcPr>
            <w:tcW w:type="dxa" w:w="6426"/>
            <w:tcMar>
              <w:top w:type="dxa" w:w="40"/>
              <w:left w:type="dxa" w:w="90"/>
              <w:bottom w:type="dxa" w:w="40"/>
              <w:right w:type="dxa" w:w="90"/>
            </w:tcMar>
          </w:tcPr>
          <w:p>
            <w:r>
              <w:rPr>
                <w:b w:val="false"/>
                <w:bCs w:val="false"/>
              </w:rPr>
              <w:t xml:space="preserve">Customer-managed runtime agents in the trusted zone acting as brokers: the generic config-driven MFT engine with its config/routing catalogue (DB), the internal API gateway (Kong), and the MFT Connector into integration processes.</w:t>
            </w:r>
          </w:p>
        </w:tc>
      </w:tr>
      <w:tr>
        <w:trPr>
          <w:tblHeader w:val="false"/>
        </w:trPr>
        <w:tc>
          <w:tcPr>
            <w:tcW w:type="dxa" w:w="2600"/>
            <w:tcMar>
              <w:top w:type="dxa" w:w="40"/>
              <w:left w:type="dxa" w:w="90"/>
              <w:bottom w:type="dxa" w:w="40"/>
              <w:right w:type="dxa" w:w="90"/>
            </w:tcMar>
          </w:tcPr>
          <w:p>
            <w:r>
              <w:rPr>
                <w:b/>
                <w:bCs/>
              </w:rPr>
              <w:t xml:space="preserve">Tier 4 — Backend / HMRC systems</w:t>
            </w:r>
          </w:p>
        </w:tc>
        <w:tc>
          <w:tcPr>
            <w:tcW w:type="dxa" w:w="6426"/>
            <w:tcMar>
              <w:top w:type="dxa" w:w="40"/>
              <w:left w:type="dxa" w:w="90"/>
              <w:bottom w:type="dxa" w:w="40"/>
              <w:right w:type="dxa" w:w="90"/>
            </w:tcMar>
          </w:tcPr>
          <w:p>
            <w:r>
              <w:rPr>
                <w:b w:val="false"/>
                <w:bCs w:val="false"/>
              </w:rPr>
              <w:t xml:space="preserve">The HoD applications across AWS, Azure, Crown Hosting and Fujitsu. The incumbent ESDES and SDS remain in the estate and are complemented, not replaced.</w:t>
            </w:r>
          </w:p>
        </w:tc>
      </w:tr>
    </w:tbl>
    <w:p>
      <w:pPr>
        <w:pStyle w:val="Heading2"/>
        <w:spacing w:after="80" w:before="160"/>
      </w:pPr>
      <w:r>
        <w:rPr>
          <w:b/>
          <w:bCs/>
          <w:color w:val="12123A"/>
        </w:rPr>
        <w:t xml:space="preserve">8.4  How MFT is driven by the integration platform</w:t>
      </w:r>
    </w:p>
    <w:p>
      <w:pPr>
        <w:spacing w:after="100"/>
      </w:pPr>
      <w:r>
        <w:t xml:space="preserve">MFT is not a silo: it runs inside the same Boomi platform as the Integration and API-management capabilities and is driven by them, wired together by the Boomi MFT Connector so an integration process can invoke MFT file-transfer flows. A transfer can be triggered and orchestrated by business logic (an event or schedule) while MFT moves the bytes over SFTP/FTPS and records the audit trail — one platform, one governance model, one audit history.</w:t>
      </w:r>
    </w:p>
    <w:p>
      <w:pPr>
        <w:spacing w:after="100"/>
      </w:pPr>
      <w:r>
        <w:t xml:space="preserve">The design keeps two paths separate:</w:t>
      </w:r>
    </w:p>
    <w:p>
      <w:pPr>
        <w:pStyle w:val="ListParagraph"/>
        <w:numPr>
          <w:ilvl w:val="0"/>
          <w:numId w:val="1"/>
        </w:numPr>
        <w:spacing w:after="40"/>
      </w:pPr>
      <w:r>
        <w:t xml:space="preserve">Trigger &amp; status path: an event or schedule in an integration process starts the transfer, and MFT exposes APIs the platform uses for status and reporting (carried over REST).</w:t>
      </w:r>
    </w:p>
    <w:p>
      <w:pPr>
        <w:pStyle w:val="ListParagraph"/>
        <w:numPr>
          <w:ilvl w:val="0"/>
          <w:numId w:val="1"/>
        </w:numPr>
        <w:spacing w:after="40"/>
      </w:pPr>
      <w:r>
        <w:t xml:space="preserve">File-transfer path: MFT performs the actual movement over SFTP/FTPS/AS2 to and from partner servers, cloud storage and internal repositories.</w:t>
      </w:r>
    </w:p>
    <w:p>
      <w:pPr>
        <w:spacing w:after="100"/>
      </w:pPr>
      <w:r>
        <w:t xml:space="preserve">The same API-management layer and the internal API gateway (Kong) can front the MFT and integration APIs, so consumers and HoD applications reach them through governed gateways rather than point-to-point.</w:t>
      </w:r>
    </w:p>
    <w:tbl>
      <w:tblPr>
        <w:tblW w:type="dxa" w:w="9026"/>
        <w:tblBorders>
          <w:top w:val="single" w:color="2e6ca4" w:sz="2"/>
          <w:left w:val="single" w:color="2e6ca4" w:sz="18"/>
          <w:bottom w:val="single" w:color="2e6ca4" w:sz="2"/>
          <w:right w:val="single" w:color="2e6ca4" w:sz="2"/>
          <w:insideH w:val="none"/>
          <w:insideV w:val="none"/>
        </w:tblBorders>
      </w:tblPr>
      <w:tblGrid>
        <w:gridCol w:w="9026"/>
      </w:tblGrid>
      <w:tr>
        <w:tc>
          <w:tcPr>
            <w:tcW w:type="dxa" w:w="9026"/>
            <w:shd w:fill="eaf1f8" w:val="clear"/>
            <w:tcMar>
              <w:top w:type="dxa" w:w="100"/>
              <w:left w:type="dxa" w:w="150"/>
              <w:bottom w:type="dxa" w:w="100"/>
              <w:right w:type="dxa" w:w="150"/>
            </w:tcMar>
          </w:tcPr>
          <w:p>
            <w:pPr>
              <w:spacing w:after="60"/>
            </w:pPr>
            <w:r>
              <w:rPr>
                <w:b/>
                <w:bCs/>
                <w:color w:val="2e6ca4"/>
              </w:rPr>
              <w:t xml:space="preserve">Design guardrail — integration must not become construction</w:t>
            </w:r>
          </w:p>
          <w:p>
            <w:pPr>
              <w:spacing w:after="40"/>
            </w:pPr>
            <w:r>
              <w:t xml:space="preserve">Invoking MFT from an integration process is consistent with config over construction only while each transfer remains a configuration row consumed by the generic engine. Bespoke per-interface integration processes that embed transfer logic re-introduce build cost and must be raised to the Design Authority with a named owner.</w:t>
            </w:r>
          </w:p>
        </w:tc>
      </w:tr>
    </w:tbl>
    <w:p>
      <w:pPr>
        <w:pStyle w:val="Heading2"/>
        <w:spacing w:after="80" w:before="160"/>
      </w:pPr>
      <w:r>
        <w:rPr>
          <w:b/>
          <w:bCs/>
          <w:color w:val="12123A"/>
        </w:rPr>
        <w:t xml:space="preserve">8.5  Key and certificate management</w:t>
      </w:r>
    </w:p>
    <w:p>
      <w:pPr>
        <w:spacing w:after="100"/>
      </w:pPr>
      <w:r>
        <w:t xml:space="preserve">SSH keys, PGP keypairs and TLS certificates are held in the platform key/certificate store and referenced by configuration. Custody, rotation and integration with an enterprise HSM/KMS are to be confirmed as a security dependency (Open questions).</w:t>
      </w:r>
    </w:p>
    <w:p>
      <w:pPr>
        <w:pStyle w:val="Heading1"/>
        <w:spacing w:after="120" w:before="260"/>
      </w:pPr>
      <w:r>
        <w:rPr>
          <w:b/>
          <w:bCs/>
          <w:color w:val="12123A"/>
        </w:rPr>
        <w:t xml:space="preserve">9  Configuration promotion strategy</w:t>
      </w:r>
    </w:p>
    <w:p>
      <w:pPr>
        <w:spacing w:after="100"/>
      </w:pPr>
      <w:r>
        <w:t xml:space="preserve">Because each interface is configuration (a row in the routing catalogue) rather than a new component, promotion is about moving configuration safely from development to test to production, not shipping code. This section describes how configuration is stored and promoted through approval workflows using the platform’s own environment and deployment model.</w:t>
      </w:r>
    </w:p>
    <w:p>
      <w:pPr>
        <w:pStyle w:val="Heading2"/>
        <w:spacing w:after="80" w:before="160"/>
      </w:pPr>
      <w:r>
        <w:rPr>
          <w:b/>
          <w:bCs/>
          <w:color w:val="12123A"/>
        </w:rPr>
        <w:t xml:space="preserve">9.1  What is promoted</w:t>
      </w:r>
    </w:p>
    <w:p>
      <w:pPr>
        <w:spacing w:after="100"/>
      </w:pPr>
      <w:r>
        <w:t xml:space="preserve">The unit of promotion is the interface configuration: endpoints, protocol, PGP/key references, schedule, filename pattern, post-actions and ownership. The generic engine and its supporting components are built once and are not re-promoted per interface.</w:t>
      </w:r>
    </w:p>
    <w:p>
      <w:pPr>
        <w:pStyle w:val="Heading2"/>
        <w:spacing w:after="80" w:before="160"/>
      </w:pPr>
      <w:r>
        <w:rPr>
          <w:b/>
          <w:bCs/>
          <w:color w:val="12123A"/>
        </w:rPr>
        <w:t xml:space="preserve">9.2  How configuration is stored</w:t>
      </w:r>
    </w:p>
    <w:p>
      <w:pPr>
        <w:spacing w:after="100"/>
      </w:pPr>
      <w:r>
        <w:t xml:space="preserve">The routing catalogue is the single source of truth for interface configuration and is held under version control (Git), so every change is diffable, reviewable and revertible (DD-03).</w:t>
      </w:r>
    </w:p>
    <w:p>
      <w:pPr>
        <w:pStyle w:val="Heading2"/>
        <w:spacing w:after="80" w:before="160"/>
      </w:pPr>
      <w:r>
        <w:rPr>
          <w:b/>
          <w:bCs/>
          <w:color w:val="12123A"/>
        </w:rPr>
        <w:t xml:space="preserve">9.3  Promotion path and approvals</w:t>
      </w:r>
    </w:p>
    <w:p>
      <w:pPr>
        <w:spacing w:after="100"/>
      </w:pPr>
      <w:r>
        <w:t xml:space="preserve">Configuration moves dev → test → prod through Boomi’s environment and deployment model, gated by an approval workflow. A config author raises the change; a reviewer/approver checks it against standards under segregation of duties; only approved configuration is deployed to the next environment; and each promotion is recorded for audit.</w:t>
      </w:r>
    </w:p>
    <w:p>
      <w:pPr>
        <w:pStyle w:val="Heading2"/>
        <w:spacing w:after="80" w:before="160"/>
      </w:pPr>
      <w:r>
        <w:rPr>
          <w:b/>
          <w:bCs/>
          <w:color w:val="12123A"/>
        </w:rPr>
        <w:t xml:space="preserve">9.4  Pipeline note (native gap)</w:t>
      </w:r>
    </w:p>
    <w:p>
      <w:pPr>
        <w:spacing w:after="100"/>
      </w:pPr>
      <w:r>
        <w:t xml:space="preserve">Boomi has no native, MFT-config-aware CI/CD pipeline (G-13): environment promotion is UI/admin-driven and not fully API-automatable today. A repeatable pipeline is therefore built externally over the AtomSphere APIs and enterprise DevOps tooling, with the Git-held catalogue as its source. This is an open question with a named owner.</w:t>
      </w:r>
    </w:p>
    <w:p>
      <w:pPr>
        <w:pStyle w:val="Heading1"/>
        <w:spacing w:after="120" w:before="260"/>
      </w:pPr>
      <w:r>
        <w:rPr>
          <w:b/>
          <w:bCs/>
          <w:color w:val="12123A"/>
        </w:rPr>
        <w:t xml:space="preserve">10  Integration with the HMRC estate</w:t>
      </w:r>
    </w:p>
    <w:p>
      <w:pPr>
        <w:pStyle w:val="Heading2"/>
        <w:spacing w:after="80" w:before="160"/>
      </w:pPr>
      <w:r>
        <w:rPr>
          <w:b/>
          <w:bCs/>
          <w:color w:val="12123A"/>
        </w:rPr>
        <w:t xml:space="preserve">10.1  Connectivity to estate systems</w:t>
      </w:r>
    </w:p>
    <w:p>
      <w:pPr>
        <w:spacing w:after="100"/>
      </w:pPr>
      <w:r>
        <w:t xml:space="preserve">The runtime agents reach the HoD applications (across AWS, Azure, Crown Hosting and Fujitsu) and integrate with MDTP and the SaaS systems (S4H, CF/MSD, Pega, CDS) through Boomi connectors (SFTP, database, JMS/queue, HTTP) from the trusted zone. Payloads remain within the boundary; only tracking metadata surfaces to the cloud service.</w:t>
      </w:r>
    </w:p>
    <w:p>
      <w:pPr>
        <w:pStyle w:val="Heading2"/>
        <w:spacing w:after="80" w:before="160"/>
      </w:pPr>
      <w:r>
        <w:rPr>
          <w:b/>
          <w:bCs/>
          <w:color w:val="12123A"/>
        </w:rPr>
        <w:t xml:space="preserve">10.2  ESDES / SDS coexistence</w:t>
      </w:r>
    </w:p>
    <w:p>
      <w:pPr>
        <w:pStyle w:val="ListParagraph"/>
        <w:numPr>
          <w:ilvl w:val="0"/>
          <w:numId w:val="1"/>
        </w:numPr>
        <w:spacing w:after="40"/>
      </w:pPr>
      <w:r>
        <w:t xml:space="preserve">Boomi MFT complements ESDES and SDS. New and cloud/SaaS-facing movements are delivered on Boomi MFT as governed configuration; ESDES and SDS continue to run the flows they own.</w:t>
      </w:r>
    </w:p>
    <w:p>
      <w:pPr>
        <w:pStyle w:val="ListParagraph"/>
        <w:numPr>
          <w:ilvl w:val="0"/>
          <w:numId w:val="1"/>
        </w:numPr>
        <w:spacing w:after="40"/>
      </w:pPr>
      <w:r>
        <w:t xml:space="preserve">There is no assumption in this SDD of replacing ESDES or SDS. If specific flows are ever migrated, each is a separate, evidence-led decision, proven in parallel before any cutover.</w:t>
      </w:r>
    </w:p>
    <w:p>
      <w:pPr>
        <w:pStyle w:val="ListParagraph"/>
        <w:numPr>
          <w:ilvl w:val="0"/>
          <w:numId w:val="1"/>
        </w:numPr>
        <w:spacing w:after="40"/>
      </w:pPr>
      <w:r>
        <w:t xml:space="preserve">WebMethods integration/orchestration coexistence is handled in the separate integration design and is not part of this file-transfer SDD.</w:t>
      </w:r>
    </w:p>
    <w:p>
      <w:pPr>
        <w:pStyle w:val="Heading2"/>
        <w:spacing w:after="80" w:before="160"/>
      </w:pPr>
      <w:r>
        <w:rPr>
          <w:b/>
          <w:bCs/>
          <w:color w:val="12123A"/>
        </w:rPr>
        <w:t xml:space="preserve">10.3  Onboarding model (configuration, not build)</w:t>
      </w:r>
    </w:p>
    <w:p>
      <w:pPr>
        <w:spacing w:after="100"/>
      </w:pPr>
      <w:r>
        <w:t xml:space="preserve">A new transfer is onboarded by adding a configuration row to the routing catalogue consumed by the generic engine, following a governed change with an approval gate and standards check (endpoints, protocol, key references, schedule, filename pattern, post-actions, ownership). No new Boomi component is created, preserving config over construction end to end.</w:t>
      </w:r>
    </w:p>
    <w:p>
      <w:pPr>
        <w:pStyle w:val="Heading2"/>
        <w:spacing w:after="80" w:before="160"/>
      </w:pPr>
      <w:r>
        <w:rPr>
          <w:b/>
          <w:bCs/>
          <w:color w:val="12123A"/>
        </w:rPr>
        <w:t xml:space="preserve">10.4  Identity, monitoring and key custody</w:t>
      </w:r>
    </w:p>
    <w:p>
      <w:pPr>
        <w:pStyle w:val="ListParagraph"/>
        <w:numPr>
          <w:ilvl w:val="0"/>
          <w:numId w:val="1"/>
        </w:numPr>
        <w:spacing w:after="40"/>
      </w:pPr>
      <w:r>
        <w:t xml:space="preserve">Operator/administrator access is via the enterprise IdP/SSO (to confirm); partner authentication is by SSH key / certificate.</w:t>
      </w:r>
    </w:p>
    <w:p>
      <w:pPr>
        <w:pStyle w:val="ListParagraph"/>
        <w:numPr>
          <w:ilvl w:val="0"/>
          <w:numId w:val="1"/>
        </w:numPr>
        <w:spacing w:after="40"/>
      </w:pPr>
      <w:r>
        <w:t xml:space="preserve">Operational telemetry is exported via OpenTelemetry to the enterprise SIEM (e.g. Splunk).</w:t>
      </w:r>
    </w:p>
    <w:p>
      <w:pPr>
        <w:pStyle w:val="ListParagraph"/>
        <w:numPr>
          <w:ilvl w:val="0"/>
          <w:numId w:val="1"/>
        </w:numPr>
        <w:spacing w:after="40"/>
      </w:pPr>
      <w:r>
        <w:t xml:space="preserve">Key material custody integrates with the enterprise HSM/KMS (to be confirmed).</w:t>
      </w:r>
    </w:p>
    <w:p>
      <w:pPr>
        <w:pStyle w:val="Heading1"/>
        <w:spacing w:after="120" w:before="260"/>
      </w:pPr>
      <w:r>
        <w:rPr>
          <w:b/>
          <w:bCs/>
          <w:color w:val="12123A"/>
        </w:rPr>
        <w:t xml:space="preserve">11  Feature and capability catalogue</w:t>
      </w:r>
    </w:p>
    <w:p>
      <w:pPr>
        <w:spacing w:after="100"/>
      </w:pPr>
      <w:r>
        <w:t xml:space="preserve">A fuller, filterable version is provided as the accompanying capability &amp; gap catalogue (Excel). Maturity: ● GA/relied-upon · ◐ available, confirm fit · ○ roadmap/validate.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826"/>
      </w:tblGrid>
      <w:tr>
        <w:trPr>
          <w:tblHeader/>
        </w:trPr>
        <w:tc>
          <w:tcPr>
            <w:tcW w:type="dxa" w:w="2800"/>
            <w:shd w:fill="12123A" w:val="clear"/>
            <w:tcMar>
              <w:top w:type="dxa" w:w="40"/>
              <w:left w:type="dxa" w:w="90"/>
              <w:bottom w:type="dxa" w:w="40"/>
              <w:right w:type="dxa" w:w="90"/>
            </w:tcMar>
          </w:tcPr>
          <w:p>
            <w:r>
              <w:rPr>
                <w:b/>
                <w:bCs/>
                <w:color w:val="FFFFFF"/>
              </w:rPr>
              <w:t xml:space="preserve">Capability</w:t>
            </w:r>
          </w:p>
        </w:tc>
        <w:tc>
          <w:tcPr>
            <w:tcW w:type="dxa" w:w="4400"/>
            <w:shd w:fill="12123A" w:val="clear"/>
            <w:tcMar>
              <w:top w:type="dxa" w:w="40"/>
              <w:left w:type="dxa" w:w="90"/>
              <w:bottom w:type="dxa" w:w="40"/>
              <w:right w:type="dxa" w:w="90"/>
            </w:tcMar>
          </w:tcPr>
          <w:p>
            <w:r>
              <w:rPr>
                <w:b/>
                <w:bCs/>
                <w:color w:val="FFFFFF"/>
              </w:rPr>
              <w:t xml:space="preserve">How it is used in the estate</w:t>
            </w:r>
          </w:p>
        </w:tc>
        <w:tc>
          <w:tcPr>
            <w:tcW w:type="dxa" w:w="1826"/>
            <w:shd w:fill="12123A" w:val="clear"/>
            <w:tcMar>
              <w:top w:type="dxa" w:w="40"/>
              <w:left w:type="dxa" w:w="90"/>
              <w:bottom w:type="dxa" w:w="40"/>
              <w:right w:type="dxa" w:w="90"/>
            </w:tcMar>
          </w:tcPr>
          <w:p>
            <w:r>
              <w:rPr>
                <w:b/>
                <w:bCs/>
                <w:color w:val="FFFFFF"/>
              </w:rPr>
              <w:t xml:space="preserve">Maturity</w:t>
            </w:r>
          </w:p>
        </w:tc>
      </w:tr>
      <w:tr>
        <w:trPr>
          <w:tblHeader w:val="false"/>
        </w:trPr>
        <w:tc>
          <w:tcPr>
            <w:tcW w:type="dxa" w:w="2800"/>
            <w:tcMar>
              <w:top w:type="dxa" w:w="40"/>
              <w:left w:type="dxa" w:w="90"/>
              <w:bottom w:type="dxa" w:w="40"/>
              <w:right w:type="dxa" w:w="90"/>
            </w:tcMar>
          </w:tcPr>
          <w:p>
            <w:r>
              <w:rPr>
                <w:b w:val="false"/>
                <w:bCs w:val="false"/>
              </w:rPr>
              <w:t xml:space="preserve">SFTP / FTPS / AS2 endpoints</w:t>
            </w:r>
          </w:p>
        </w:tc>
        <w:tc>
          <w:tcPr>
            <w:tcW w:type="dxa" w:w="4400"/>
            <w:tcMar>
              <w:top w:type="dxa" w:w="40"/>
              <w:left w:type="dxa" w:w="90"/>
              <w:bottom w:type="dxa" w:w="40"/>
              <w:right w:type="dxa" w:w="90"/>
            </w:tcMar>
          </w:tcPr>
          <w:p>
            <w:r>
              <w:rPr>
                <w:b w:val="false"/>
                <w:bCs w:val="false"/>
              </w:rPr>
              <w:t xml:space="preserve">Inbound/outbound with OGDs, agents, banks</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Runtime agent (broker) east-west</w:t>
            </w:r>
          </w:p>
        </w:tc>
        <w:tc>
          <w:tcPr>
            <w:tcW w:type="dxa" w:w="4400"/>
            <w:tcMar>
              <w:top w:type="dxa" w:w="40"/>
              <w:left w:type="dxa" w:w="90"/>
              <w:bottom w:type="dxa" w:w="40"/>
              <w:right w:type="dxa" w:w="90"/>
            </w:tcMar>
          </w:tcPr>
          <w:p>
            <w:r>
              <w:rPr>
                <w:b w:val="false"/>
                <w:bCs w:val="false"/>
              </w:rPr>
              <w:t xml:space="preserve">Internal movement inside the trusted zone</w:t>
            </w:r>
          </w:p>
        </w:tc>
        <w:tc>
          <w:tcPr>
            <w:tcW w:type="dxa" w:w="1826"/>
            <w:tcMar>
              <w:top w:type="dxa" w:w="40"/>
              <w:left w:type="dxa" w:w="90"/>
              <w:bottom w:type="dxa" w:w="40"/>
              <w:right w:type="dxa" w:w="90"/>
            </w:tcMar>
          </w:tcPr>
          <w:p>
            <w:r>
              <w:rPr>
                <w:b w:val="false"/>
                <w:bCs w:val="false"/>
              </w:rPr>
              <w:t xml:space="preserve">◐ confirm</w:t>
            </w:r>
          </w:p>
        </w:tc>
      </w:tr>
      <w:tr>
        <w:trPr>
          <w:tblHeader w:val="false"/>
        </w:trPr>
        <w:tc>
          <w:tcPr>
            <w:tcW w:type="dxa" w:w="2800"/>
            <w:tcMar>
              <w:top w:type="dxa" w:w="40"/>
              <w:left w:type="dxa" w:w="90"/>
              <w:bottom w:type="dxa" w:w="40"/>
              <w:right w:type="dxa" w:w="90"/>
            </w:tcMar>
          </w:tcPr>
          <w:p>
            <w:r>
              <w:rPr>
                <w:b w:val="false"/>
                <w:bCs w:val="false"/>
              </w:rPr>
              <w:t xml:space="preserve">Trading-partner onboarding</w:t>
            </w:r>
          </w:p>
        </w:tc>
        <w:tc>
          <w:tcPr>
            <w:tcW w:type="dxa" w:w="4400"/>
            <w:tcMar>
              <w:top w:type="dxa" w:w="40"/>
              <w:left w:type="dxa" w:w="90"/>
              <w:bottom w:type="dxa" w:w="40"/>
              <w:right w:type="dxa" w:w="90"/>
            </w:tcMar>
          </w:tcPr>
          <w:p>
            <w:r>
              <w:rPr>
                <w:b w:val="false"/>
                <w:bCs w:val="false"/>
              </w:rPr>
              <w:t xml:space="preserve">Config-driven partner/endpoint records</w:t>
            </w:r>
          </w:p>
        </w:tc>
        <w:tc>
          <w:tcPr>
            <w:tcW w:type="dxa" w:w="1826"/>
            <w:tcMar>
              <w:top w:type="dxa" w:w="40"/>
              <w:left w:type="dxa" w:w="90"/>
              <w:bottom w:type="dxa" w:w="40"/>
              <w:right w:type="dxa" w:w="90"/>
            </w:tcMar>
          </w:tcPr>
          <w:p>
            <w:r>
              <w:rPr>
                <w:b w:val="false"/>
                <w:bCs w:val="false"/>
              </w:rPr>
              <w:t xml:space="preserve">◐ confirm</w:t>
            </w:r>
          </w:p>
        </w:tc>
      </w:tr>
      <w:tr>
        <w:trPr>
          <w:tblHeader w:val="false"/>
        </w:trPr>
        <w:tc>
          <w:tcPr>
            <w:tcW w:type="dxa" w:w="2800"/>
            <w:tcMar>
              <w:top w:type="dxa" w:w="40"/>
              <w:left w:type="dxa" w:w="90"/>
              <w:bottom w:type="dxa" w:w="40"/>
              <w:right w:type="dxa" w:w="90"/>
            </w:tcMar>
          </w:tcPr>
          <w:p>
            <w:r>
              <w:rPr>
                <w:b w:val="false"/>
                <w:bCs w:val="false"/>
              </w:rPr>
              <w:t xml:space="preserve">Event-driven trigger</w:t>
            </w:r>
          </w:p>
        </w:tc>
        <w:tc>
          <w:tcPr>
            <w:tcW w:type="dxa" w:w="4400"/>
            <w:tcMar>
              <w:top w:type="dxa" w:w="40"/>
              <w:left w:type="dxa" w:w="90"/>
              <w:bottom w:type="dxa" w:w="40"/>
              <w:right w:type="dxa" w:w="90"/>
            </w:tcMar>
          </w:tcPr>
          <w:p>
            <w:r>
              <w:rPr>
                <w:b w:val="false"/>
                <w:bCs w:val="false"/>
              </w:rPr>
              <w:t xml:space="preserve">File arrival kicks off engine/process</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Guaranteed delivery + retry</w:t>
            </w:r>
          </w:p>
        </w:tc>
        <w:tc>
          <w:tcPr>
            <w:tcW w:type="dxa" w:w="4400"/>
            <w:tcMar>
              <w:top w:type="dxa" w:w="40"/>
              <w:left w:type="dxa" w:w="90"/>
              <w:bottom w:type="dxa" w:w="40"/>
              <w:right w:type="dxa" w:w="90"/>
            </w:tcMar>
          </w:tcPr>
          <w:p>
            <w:r>
              <w:rPr>
                <w:b w:val="false"/>
                <w:bCs w:val="false"/>
              </w:rPr>
              <w:t xml:space="preserve">Resilient transfers to systems of record</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PGP (incl. ASCII-armor)</w:t>
            </w:r>
          </w:p>
        </w:tc>
        <w:tc>
          <w:tcPr>
            <w:tcW w:type="dxa" w:w="4400"/>
            <w:tcMar>
              <w:top w:type="dxa" w:w="40"/>
              <w:left w:type="dxa" w:w="90"/>
              <w:bottom w:type="dxa" w:w="40"/>
              <w:right w:type="dxa" w:w="90"/>
            </w:tcMar>
          </w:tcPr>
          <w:p>
            <w:r>
              <w:rPr>
                <w:b w:val="false"/>
                <w:bCs w:val="false"/>
              </w:rPr>
              <w:t xml:space="preserve">At-rest protection of OFFICIAL payloads</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TAR archive / extract</w:t>
            </w:r>
          </w:p>
        </w:tc>
        <w:tc>
          <w:tcPr>
            <w:tcW w:type="dxa" w:w="4400"/>
            <w:tcMar>
              <w:top w:type="dxa" w:w="40"/>
              <w:left w:type="dxa" w:w="90"/>
              <w:bottom w:type="dxa" w:w="40"/>
              <w:right w:type="dxa" w:w="90"/>
            </w:tcMar>
          </w:tcPr>
          <w:p>
            <w:r>
              <w:rPr>
                <w:b w:val="false"/>
                <w:bCs w:val="false"/>
              </w:rPr>
              <w:t xml:space="preserve">Bundle/unbundle batch file sets</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Tracking &amp; audit log</w:t>
            </w:r>
          </w:p>
        </w:tc>
        <w:tc>
          <w:tcPr>
            <w:tcW w:type="dxa" w:w="4400"/>
            <w:tcMar>
              <w:top w:type="dxa" w:w="40"/>
              <w:left w:type="dxa" w:w="90"/>
              <w:bottom w:type="dxa" w:w="40"/>
              <w:right w:type="dxa" w:w="90"/>
            </w:tcMar>
          </w:tcPr>
          <w:p>
            <w:r>
              <w:rPr>
                <w:b w:val="false"/>
                <w:bCs w:val="false"/>
              </w:rPr>
              <w:t xml:space="preserve">Single source of truth for all transfers</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Scheduling &amp; polling</w:t>
            </w:r>
          </w:p>
        </w:tc>
        <w:tc>
          <w:tcPr>
            <w:tcW w:type="dxa" w:w="4400"/>
            <w:tcMar>
              <w:top w:type="dxa" w:w="40"/>
              <w:left w:type="dxa" w:w="90"/>
              <w:bottom w:type="dxa" w:w="40"/>
              <w:right w:type="dxa" w:w="90"/>
            </w:tcMar>
          </w:tcPr>
          <w:p>
            <w:r>
              <w:rPr>
                <w:b w:val="false"/>
                <w:bCs w:val="false"/>
              </w:rPr>
              <w:t xml:space="preserve">Batch windows and source polling</w:t>
            </w:r>
          </w:p>
        </w:tc>
        <w:tc>
          <w:tcPr>
            <w:tcW w:type="dxa" w:w="1826"/>
            <w:tcMar>
              <w:top w:type="dxa" w:w="40"/>
              <w:left w:type="dxa" w:w="90"/>
              <w:bottom w:type="dxa" w:w="40"/>
              <w:right w:type="dxa" w:w="90"/>
            </w:tcMar>
          </w:tcPr>
          <w:p>
            <w:r>
              <w:rPr>
                <w:b w:val="false"/>
                <w:bCs w:val="false"/>
              </w:rPr>
              <w:t xml:space="preserve">● GA</w:t>
            </w:r>
          </w:p>
        </w:tc>
      </w:tr>
      <w:tr>
        <w:trPr>
          <w:tblHeader w:val="false"/>
        </w:trPr>
        <w:tc>
          <w:tcPr>
            <w:tcW w:type="dxa" w:w="2800"/>
            <w:tcMar>
              <w:top w:type="dxa" w:w="40"/>
              <w:left w:type="dxa" w:w="90"/>
              <w:bottom w:type="dxa" w:w="40"/>
              <w:right w:type="dxa" w:w="90"/>
            </w:tcMar>
          </w:tcPr>
          <w:p>
            <w:r>
              <w:rPr>
                <w:b w:val="false"/>
                <w:bCs w:val="false"/>
              </w:rPr>
              <w:t xml:space="preserve">Runtime AV scanning</w:t>
            </w:r>
          </w:p>
        </w:tc>
        <w:tc>
          <w:tcPr>
            <w:tcW w:type="dxa" w:w="4400"/>
            <w:tcMar>
              <w:top w:type="dxa" w:w="40"/>
              <w:left w:type="dxa" w:w="90"/>
              <w:bottom w:type="dxa" w:w="40"/>
              <w:right w:type="dxa" w:w="90"/>
            </w:tcMar>
          </w:tcPr>
          <w:p>
            <w:r>
              <w:rPr>
                <w:b w:val="false"/>
                <w:bCs w:val="false"/>
              </w:rPr>
              <w:t xml:space="preserve">Scan east-west / large files at the agent</w:t>
            </w:r>
          </w:p>
        </w:tc>
        <w:tc>
          <w:tcPr>
            <w:tcW w:type="dxa" w:w="1826"/>
            <w:tcMar>
              <w:top w:type="dxa" w:w="40"/>
              <w:left w:type="dxa" w:w="90"/>
              <w:bottom w:type="dxa" w:w="40"/>
              <w:right w:type="dxa" w:w="90"/>
            </w:tcMar>
          </w:tcPr>
          <w:p>
            <w:r>
              <w:rPr>
                <w:b w:val="false"/>
                <w:bCs w:val="false"/>
              </w:rPr>
              <w:t xml:space="preserve">○ validate (patch)</w:t>
            </w:r>
          </w:p>
        </w:tc>
      </w:tr>
      <w:tr>
        <w:trPr>
          <w:tblHeader w:val="false"/>
        </w:trPr>
        <w:tc>
          <w:tcPr>
            <w:tcW w:type="dxa" w:w="2800"/>
            <w:tcMar>
              <w:top w:type="dxa" w:w="40"/>
              <w:left w:type="dxa" w:w="90"/>
              <w:bottom w:type="dxa" w:w="40"/>
              <w:right w:type="dxa" w:w="90"/>
            </w:tcMar>
          </w:tcPr>
          <w:p>
            <w:r>
              <w:rPr>
                <w:b w:val="false"/>
                <w:bCs w:val="false"/>
              </w:rPr>
              <w:t xml:space="preserve">OpenTelemetry observability</w:t>
            </w:r>
          </w:p>
        </w:tc>
        <w:tc>
          <w:tcPr>
            <w:tcW w:type="dxa" w:w="4400"/>
            <w:tcMar>
              <w:top w:type="dxa" w:w="40"/>
              <w:left w:type="dxa" w:w="90"/>
              <w:bottom w:type="dxa" w:w="40"/>
              <w:right w:type="dxa" w:w="90"/>
            </w:tcMar>
          </w:tcPr>
          <w:p>
            <w:r>
              <w:rPr>
                <w:b w:val="false"/>
                <w:bCs w:val="false"/>
              </w:rPr>
              <w:t xml:space="preserve">Export to enterprise SIEM</w:t>
            </w:r>
          </w:p>
        </w:tc>
        <w:tc>
          <w:tcPr>
            <w:tcW w:type="dxa" w:w="1826"/>
            <w:tcMar>
              <w:top w:type="dxa" w:w="40"/>
              <w:left w:type="dxa" w:w="90"/>
              <w:bottom w:type="dxa" w:w="40"/>
              <w:right w:type="dxa" w:w="90"/>
            </w:tcMar>
          </w:tcPr>
          <w:p>
            <w:r>
              <w:rPr>
                <w:b w:val="false"/>
                <w:bCs w:val="false"/>
              </w:rPr>
              <w:t xml:space="preserve">◐ confirm</w:t>
            </w:r>
          </w:p>
        </w:tc>
      </w:tr>
      <w:tr>
        <w:trPr>
          <w:tblHeader w:val="false"/>
        </w:trPr>
        <w:tc>
          <w:tcPr>
            <w:tcW w:type="dxa" w:w="2800"/>
            <w:tcMar>
              <w:top w:type="dxa" w:w="40"/>
              <w:left w:type="dxa" w:w="90"/>
              <w:bottom w:type="dxa" w:w="40"/>
              <w:right w:type="dxa" w:w="90"/>
            </w:tcMar>
          </w:tcPr>
          <w:p>
            <w:r>
              <w:rPr>
                <w:b w:val="false"/>
                <w:bCs w:val="false"/>
              </w:rPr>
              <w:t xml:space="preserve">Hybrid on-prem runtime</w:t>
            </w:r>
          </w:p>
        </w:tc>
        <w:tc>
          <w:tcPr>
            <w:tcW w:type="dxa" w:w="4400"/>
            <w:tcMar>
              <w:top w:type="dxa" w:w="40"/>
              <w:left w:type="dxa" w:w="90"/>
              <w:bottom w:type="dxa" w:w="40"/>
              <w:right w:type="dxa" w:w="90"/>
            </w:tcMar>
          </w:tcPr>
          <w:p>
            <w:r>
              <w:rPr>
                <w:b w:val="false"/>
                <w:bCs w:val="false"/>
              </w:rPr>
              <w:t xml:space="preserve">Keep OFFICIAL payload in boundary</w:t>
            </w:r>
          </w:p>
        </w:tc>
        <w:tc>
          <w:tcPr>
            <w:tcW w:type="dxa" w:w="1826"/>
            <w:tcMar>
              <w:top w:type="dxa" w:w="40"/>
              <w:left w:type="dxa" w:w="90"/>
              <w:bottom w:type="dxa" w:w="40"/>
              <w:right w:type="dxa" w:w="90"/>
            </w:tcMar>
          </w:tcPr>
          <w:p>
            <w:r>
              <w:rPr>
                <w:b w:val="false"/>
                <w:bCs w:val="false"/>
              </w:rPr>
              <w:t xml:space="preserve">◐ confirm</w:t>
            </w:r>
          </w:p>
        </w:tc>
      </w:tr>
      <w:tr>
        <w:trPr>
          <w:tblHeader w:val="false"/>
        </w:trPr>
        <w:tc>
          <w:tcPr>
            <w:tcW w:type="dxa" w:w="2800"/>
            <w:tcMar>
              <w:top w:type="dxa" w:w="40"/>
              <w:left w:type="dxa" w:w="90"/>
              <w:bottom w:type="dxa" w:w="40"/>
              <w:right w:type="dxa" w:w="90"/>
            </w:tcMar>
          </w:tcPr>
          <w:p>
            <w:r>
              <w:rPr>
                <w:b w:val="false"/>
                <w:bCs w:val="false"/>
              </w:rPr>
              <w:t xml:space="preserve">OFTP2 / AS4 / PeSIT</w:t>
            </w:r>
          </w:p>
        </w:tc>
        <w:tc>
          <w:tcPr>
            <w:tcW w:type="dxa" w:w="4400"/>
            <w:tcMar>
              <w:top w:type="dxa" w:w="40"/>
              <w:left w:type="dxa" w:w="90"/>
              <w:bottom w:type="dxa" w:w="40"/>
              <w:right w:type="dxa" w:w="90"/>
            </w:tcMar>
          </w:tcPr>
          <w:p>
            <w:r>
              <w:rPr>
                <w:b w:val="false"/>
                <w:bCs w:val="false"/>
              </w:rPr>
              <w:t xml:space="preserve">Only if partners require them</w:t>
            </w:r>
          </w:p>
        </w:tc>
        <w:tc>
          <w:tcPr>
            <w:tcW w:type="dxa" w:w="1826"/>
            <w:tcMar>
              <w:top w:type="dxa" w:w="40"/>
              <w:left w:type="dxa" w:w="90"/>
              <w:bottom w:type="dxa" w:w="40"/>
              <w:right w:type="dxa" w:w="90"/>
            </w:tcMar>
          </w:tcPr>
          <w:p>
            <w:r>
              <w:rPr>
                <w:b w:val="false"/>
                <w:bCs w:val="false"/>
              </w:rPr>
              <w:t xml:space="preserve">○ validate</w:t>
            </w:r>
          </w:p>
        </w:tc>
      </w:tr>
      <w:tr>
        <w:trPr>
          <w:tblHeader w:val="false"/>
        </w:trPr>
        <w:tc>
          <w:tcPr>
            <w:tcW w:type="dxa" w:w="2800"/>
            <w:tcMar>
              <w:top w:type="dxa" w:w="40"/>
              <w:left w:type="dxa" w:w="90"/>
              <w:bottom w:type="dxa" w:w="40"/>
              <w:right w:type="dxa" w:w="90"/>
            </w:tcMar>
          </w:tcPr>
          <w:p>
            <w:r>
              <w:rPr>
                <w:b w:val="false"/>
                <w:bCs w:val="false"/>
              </w:rPr>
              <w:t xml:space="preserve">Long-term audit retention</w:t>
            </w:r>
          </w:p>
        </w:tc>
        <w:tc>
          <w:tcPr>
            <w:tcW w:type="dxa" w:w="4400"/>
            <w:tcMar>
              <w:top w:type="dxa" w:w="40"/>
              <w:left w:type="dxa" w:w="90"/>
              <w:bottom w:type="dxa" w:w="40"/>
              <w:right w:type="dxa" w:w="90"/>
            </w:tcMar>
          </w:tcPr>
          <w:p>
            <w:r>
              <w:rPr>
                <w:b w:val="false"/>
                <w:bCs w:val="false"/>
              </w:rPr>
              <w:t xml:space="preserve">Beyond 12-month native default</w:t>
            </w:r>
          </w:p>
        </w:tc>
        <w:tc>
          <w:tcPr>
            <w:tcW w:type="dxa" w:w="1826"/>
            <w:tcMar>
              <w:top w:type="dxa" w:w="40"/>
              <w:left w:type="dxa" w:w="90"/>
              <w:bottom w:type="dxa" w:w="40"/>
              <w:right w:type="dxa" w:w="90"/>
            </w:tcMar>
          </w:tcPr>
          <w:p>
            <w:r>
              <w:rPr>
                <w:b w:val="false"/>
                <w:bCs w:val="false"/>
              </w:rPr>
              <w:t xml:space="preserve">○ validate</w:t>
            </w:r>
          </w:p>
        </w:tc>
      </w:tr>
      <w:tr>
        <w:trPr>
          <w:tblHeader w:val="false"/>
        </w:trPr>
        <w:tc>
          <w:tcPr>
            <w:tcW w:type="dxa" w:w="2800"/>
            <w:tcMar>
              <w:top w:type="dxa" w:w="40"/>
              <w:left w:type="dxa" w:w="90"/>
              <w:bottom w:type="dxa" w:w="40"/>
              <w:right w:type="dxa" w:w="90"/>
            </w:tcMar>
          </w:tcPr>
          <w:p>
            <w:r>
              <w:rPr>
                <w:b w:val="false"/>
                <w:bCs w:val="false"/>
              </w:rPr>
              <w:t xml:space="preserve">CI/CD pipeline for MFT config</w:t>
            </w:r>
          </w:p>
        </w:tc>
        <w:tc>
          <w:tcPr>
            <w:tcW w:type="dxa" w:w="4400"/>
            <w:tcMar>
              <w:top w:type="dxa" w:w="40"/>
              <w:left w:type="dxa" w:w="90"/>
              <w:bottom w:type="dxa" w:w="40"/>
              <w:right w:type="dxa" w:w="90"/>
            </w:tcMar>
          </w:tcPr>
          <w:p>
            <w:r>
              <w:rPr>
                <w:b w:val="false"/>
                <w:bCs w:val="false"/>
              </w:rPr>
              <w:t xml:space="preserve">Promote transfer config dev→test→prod</w:t>
            </w:r>
          </w:p>
        </w:tc>
        <w:tc>
          <w:tcPr>
            <w:tcW w:type="dxa" w:w="1826"/>
            <w:tcMar>
              <w:top w:type="dxa" w:w="40"/>
              <w:left w:type="dxa" w:w="90"/>
              <w:bottom w:type="dxa" w:w="40"/>
              <w:right w:type="dxa" w:w="90"/>
            </w:tcMar>
          </w:tcPr>
          <w:p>
            <w:r>
              <w:rPr>
                <w:b w:val="false"/>
                <w:bCs w:val="false"/>
              </w:rPr>
              <w:t xml:space="preserve">○ gap (G-13)</w:t>
            </w:r>
          </w:p>
        </w:tc>
      </w:tr>
      <w:tr>
        <w:trPr>
          <w:tblHeader w:val="false"/>
        </w:trPr>
        <w:tc>
          <w:tcPr>
            <w:tcW w:type="dxa" w:w="2800"/>
            <w:tcMar>
              <w:top w:type="dxa" w:w="40"/>
              <w:left w:type="dxa" w:w="90"/>
              <w:bottom w:type="dxa" w:w="40"/>
              <w:right w:type="dxa" w:w="90"/>
            </w:tcMar>
          </w:tcPr>
          <w:p>
            <w:r>
              <w:rPr>
                <w:b w:val="false"/>
                <w:bCs w:val="false"/>
              </w:rPr>
              <w:t xml:space="preserve">Enterprise secrets / password manager</w:t>
            </w:r>
          </w:p>
        </w:tc>
        <w:tc>
          <w:tcPr>
            <w:tcW w:type="dxa" w:w="4400"/>
            <w:tcMar>
              <w:top w:type="dxa" w:w="40"/>
              <w:left w:type="dxa" w:w="90"/>
              <w:bottom w:type="dxa" w:w="40"/>
              <w:right w:type="dxa" w:w="90"/>
            </w:tcMar>
          </w:tcPr>
          <w:p>
            <w:r>
              <w:rPr>
                <w:b w:val="false"/>
                <w:bCs w:val="false"/>
              </w:rPr>
              <w:t xml:space="preserve">Source MFT/partner credentials externally</w:t>
            </w:r>
          </w:p>
        </w:tc>
        <w:tc>
          <w:tcPr>
            <w:tcW w:type="dxa" w:w="1826"/>
            <w:tcMar>
              <w:top w:type="dxa" w:w="40"/>
              <w:left w:type="dxa" w:w="90"/>
              <w:bottom w:type="dxa" w:w="40"/>
              <w:right w:type="dxa" w:w="90"/>
            </w:tcMar>
          </w:tcPr>
          <w:p>
            <w:r>
              <w:rPr>
                <w:b w:val="false"/>
                <w:bCs w:val="false"/>
              </w:rPr>
              <w:t xml:space="preserve">○ gap (G-14)</w:t>
            </w:r>
          </w:p>
        </w:tc>
      </w:tr>
    </w:tbl>
    <w:p>
      <w:pPr>
        <w:pStyle w:val="Heading1"/>
        <w:spacing w:after="120" w:before="260"/>
      </w:pPr>
      <w:r>
        <w:rPr>
          <w:b/>
          <w:bCs/>
          <w:color w:val="12123A"/>
        </w:rPr>
        <w:t xml:space="preserve">12  Non-functional design</w:t>
      </w:r>
    </w:p>
    <w:p>
      <w:pPr>
        <w:pStyle w:val="Heading2"/>
        <w:spacing w:after="80" w:before="160"/>
      </w:pPr>
      <w:r>
        <w:rPr>
          <w:b/>
          <w:bCs/>
          <w:color w:val="12123A"/>
        </w:rPr>
        <w:t xml:space="preserve">12.1  Availability &amp; resilience</w:t>
      </w:r>
    </w:p>
    <w:p>
      <w:pPr>
        <w:spacing w:after="100"/>
      </w:pPr>
      <w:r>
        <w:t xml:space="preserve">The runtime is deployed as a clustered Boomi Molecule for high availability and fault tolerance; the edge is fronted by a load balancer. The MFT gateway HA topology is to be confirmed (Open questions).</w:t>
      </w:r>
    </w:p>
    <w:p>
      <w:pPr>
        <w:pStyle w:val="Heading2"/>
        <w:spacing w:after="80" w:before="160"/>
      </w:pPr>
      <w:r>
        <w:rPr>
          <w:b/>
          <w:bCs/>
          <w:color w:val="12123A"/>
        </w:rPr>
        <w:t xml:space="preserve">12.2  Disaster recovery</w:t>
      </w:r>
    </w:p>
    <w:p>
      <w:pPr>
        <w:spacing w:after="100"/>
      </w:pPr>
      <w:r>
        <w:t xml:space="preserve">A secondary runtime with replicated configuration provides recovery. RTO/RPO targets are to be set with the business; the config/routing catalogue and key material are the critical state to protect and replicate.</w:t>
      </w:r>
    </w:p>
    <w:p>
      <w:pPr>
        <w:pStyle w:val="Heading2"/>
        <w:spacing w:after="80" w:before="160"/>
      </w:pPr>
      <w:r>
        <w:rPr>
          <w:b/>
          <w:bCs/>
          <w:color w:val="12123A"/>
        </w:rPr>
        <w:t xml:space="preserve">12.3  Scalability &amp; performance</w:t>
      </w:r>
    </w:p>
    <w:p>
      <w:pPr>
        <w:spacing w:after="100"/>
      </w:pPr>
      <w:r>
        <w:t xml:space="preserve">Cloud MFT components scale elastically; runtime agents scale horizontally for batch peaks. High-volume batch throughput at HMRC volumes should be benchmarked before migrating high-volume flows (gap G-05).</w:t>
      </w:r>
    </w:p>
    <w:p>
      <w:pPr>
        <w:pStyle w:val="Heading2"/>
        <w:spacing w:after="80" w:before="160"/>
      </w:pPr>
      <w:r>
        <w:rPr>
          <w:b/>
          <w:bCs/>
          <w:color w:val="12123A"/>
        </w:rPr>
        <w:t xml:space="preserve">12.4  Security &amp; data protection</w:t>
      </w:r>
    </w:p>
    <w:p>
      <w:pPr>
        <w:pStyle w:val="ListParagraph"/>
        <w:numPr>
          <w:ilvl w:val="0"/>
          <w:numId w:val="1"/>
        </w:numPr>
        <w:spacing w:after="40"/>
      </w:pPr>
      <w:r>
        <w:t xml:space="preserve">In transit: TLS (FTPS/AS2) and SSH (SFTP). At rest: PGP; transient landing zones encrypted.</w:t>
      </w:r>
    </w:p>
    <w:p>
      <w:pPr>
        <w:pStyle w:val="ListParagraph"/>
        <w:numPr>
          <w:ilvl w:val="0"/>
          <w:numId w:val="1"/>
        </w:numPr>
        <w:spacing w:after="40"/>
      </w:pPr>
      <w:r>
        <w:t xml:space="preserve">Access: RBAC on the platform; segregation of duties between config authors, approvers and operators.</w:t>
      </w:r>
    </w:p>
    <w:p>
      <w:pPr>
        <w:pStyle w:val="ListParagraph"/>
        <w:numPr>
          <w:ilvl w:val="0"/>
          <w:numId w:val="1"/>
        </w:numPr>
        <w:spacing w:after="40"/>
      </w:pPr>
      <w:r>
        <w:t xml:space="preserve">Key custody: enterprise HSM/KMS integration to be confirmed.</w:t>
      </w:r>
    </w:p>
    <w:p>
      <w:pPr>
        <w:pStyle w:val="ListParagraph"/>
        <w:numPr>
          <w:ilvl w:val="0"/>
          <w:numId w:val="1"/>
        </w:numPr>
        <w:spacing w:after="40"/>
      </w:pPr>
      <w:r>
        <w:t xml:space="preserve">Data residency: hybrid runtime keeps payload in the trusted boundary; cloud-service region to be confirmed for OFFICIAL.</w:t>
      </w:r>
    </w:p>
    <w:p>
      <w:pPr>
        <w:pStyle w:val="Heading2"/>
        <w:spacing w:after="80" w:before="160"/>
      </w:pPr>
      <w:r>
        <w:rPr>
          <w:b/>
          <w:bCs/>
          <w:color w:val="12123A"/>
        </w:rPr>
        <w:t xml:space="preserve">12.5  Auditability &amp; retention</w:t>
      </w:r>
    </w:p>
    <w:p>
      <w:pPr>
        <w:spacing w:after="100"/>
      </w:pPr>
      <w:r>
        <w:t xml:space="preserve">Every transfer produces an immutable tracking/audit record with delivery confirmation. Native automated retention defaults (audit logs 12 months, schedule history 3 months) are likely shorter than statutory/records-management requirements; audit data must be exported to a long-term archive (gap G-02b).</w:t>
      </w:r>
    </w:p>
    <w:p>
      <w:pPr>
        <w:pStyle w:val="Heading2"/>
        <w:spacing w:after="80" w:before="160"/>
      </w:pPr>
      <w:r>
        <w:rPr>
          <w:b/>
          <w:bCs/>
          <w:color w:val="12123A"/>
        </w:rPr>
        <w:t xml:space="preserve">12.6  Observability &amp; operations</w:t>
      </w:r>
    </w:p>
    <w:p>
      <w:pPr>
        <w:spacing w:after="100"/>
      </w:pPr>
      <w:r>
        <w:t xml:space="preserve">OpenTelemetry export streams metrics, logs and traces to the enterprise SIEM; runtime heartbeat/health telemetry supports proactive monitoring and alerting on failure and SLA breach.</w:t>
      </w:r>
    </w:p>
    <w:p>
      <w:pPr>
        <w:pStyle w:val="Heading1"/>
        <w:spacing w:after="120" w:before="260"/>
      </w:pPr>
      <w:r>
        <w:rPr>
          <w:b/>
          <w:bCs/>
          <w:color w:val="12123A"/>
        </w:rPr>
        <w:t xml:space="preserve">13  Gaps and limitations</w:t>
      </w:r>
    </w:p>
    <w:p>
      <w:pPr>
        <w:spacing w:after="100"/>
      </w:pPr>
      <w:r>
        <w:t xml:space="preserve">This section is deliberately candid. Each gap is stated with its impact and a mitigation/action, so the Design Authority can accept, mitigate or challenge it rather than discover it in build.</w:t>
      </w:r>
    </w:p>
    <w:tbl>
      <w:tblPr>
        <w:tblW w:type="dxa" w:w="9026"/>
        <w:tblBorders>
          <w:top w:val="single" w:color="8a5a00" w:sz="2"/>
          <w:left w:val="single" w:color="8a5a00" w:sz="18"/>
          <w:bottom w:val="single" w:color="8a5a00" w:sz="2"/>
          <w:right w:val="single" w:color="8a5a00" w:sz="2"/>
          <w:insideH w:val="none"/>
          <w:insideV w:val="none"/>
        </w:tblBorders>
      </w:tblPr>
      <w:tblGrid>
        <w:gridCol w:w="9026"/>
      </w:tblGrid>
      <w:tr>
        <w:tc>
          <w:tcPr>
            <w:tcW w:type="dxa" w:w="9026"/>
            <w:shd w:fill="fbf5e8" w:val="clear"/>
            <w:tcMar>
              <w:top w:type="dxa" w:w="100"/>
              <w:left w:type="dxa" w:w="150"/>
              <w:bottom w:type="dxa" w:w="100"/>
              <w:right w:type="dxa" w:w="150"/>
            </w:tcMar>
          </w:tcPr>
          <w:p>
            <w:pPr>
              <w:spacing w:after="60"/>
            </w:pPr>
            <w:r>
              <w:rPr>
                <w:b/>
                <w:bCs/>
                <w:color w:val="8a5a00"/>
              </w:rPr>
              <w:t xml:space="preserve">Headline platform drawbacks</w:t>
            </w:r>
          </w:p>
          <w:p>
            <w:pPr>
              <w:spacing w:after="40"/>
            </w:pPr>
            <w:r>
              <w:t xml:space="preserve">No native CI/CD pipeline for MFT (G-13): promotion of transfer configuration dev→test→prod is UI/admin-driven and not fully API-automatable, so a repeatable pipeline must be built externally over the AtomSphere APIs and enterprise DevOps tooling.</w:t>
            </w:r>
          </w:p>
          <w:p>
            <w:pPr>
              <w:spacing w:after="40"/>
            </w:pPr>
            <w:r>
              <w:t xml:space="preserve">No native enterprise secrets-manager integration for MFT credentials (G-14): there is no documented native path to source MFT endpoint/trading-partner credentials from an enterprise password manager such as CyberArk PAM, which weakens central rotation and privileged-access governance.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200"/>
        <w:gridCol w:w="2326"/>
      </w:tblGrid>
      <w:tr>
        <w:trPr>
          <w:tblHeader/>
        </w:trPr>
        <w:tc>
          <w:tcPr>
            <w:tcW w:type="dxa" w:w="1100"/>
            <w:shd w:fill="12123A" w:val="clear"/>
            <w:tcMar>
              <w:top w:type="dxa" w:w="40"/>
              <w:left w:type="dxa" w:w="90"/>
              <w:bottom w:type="dxa" w:w="40"/>
              <w:right w:type="dxa" w:w="90"/>
            </w:tcMar>
          </w:tcPr>
          <w:p>
            <w:r>
              <w:rPr>
                <w:b/>
                <w:bCs/>
                <w:color w:val="FFFFFF"/>
              </w:rPr>
              <w:t xml:space="preserve">Ref</w:t>
            </w:r>
          </w:p>
        </w:tc>
        <w:tc>
          <w:tcPr>
            <w:tcW w:type="dxa" w:w="3400"/>
            <w:shd w:fill="12123A" w:val="clear"/>
            <w:tcMar>
              <w:top w:type="dxa" w:w="40"/>
              <w:left w:type="dxa" w:w="90"/>
              <w:bottom w:type="dxa" w:w="40"/>
              <w:right w:type="dxa" w:w="90"/>
            </w:tcMar>
          </w:tcPr>
          <w:p>
            <w:r>
              <w:rPr>
                <w:b/>
                <w:bCs/>
                <w:color w:val="FFFFFF"/>
              </w:rPr>
              <w:t xml:space="preserve">Gap / limitation</w:t>
            </w:r>
          </w:p>
        </w:tc>
        <w:tc>
          <w:tcPr>
            <w:tcW w:type="dxa" w:w="2200"/>
            <w:shd w:fill="12123A" w:val="clear"/>
            <w:tcMar>
              <w:top w:type="dxa" w:w="40"/>
              <w:left w:type="dxa" w:w="90"/>
              <w:bottom w:type="dxa" w:w="40"/>
              <w:right w:type="dxa" w:w="90"/>
            </w:tcMar>
          </w:tcPr>
          <w:p>
            <w:r>
              <w:rPr>
                <w:b/>
                <w:bCs/>
                <w:color w:val="FFFFFF"/>
              </w:rPr>
              <w:t xml:space="preserve">Impact</w:t>
            </w:r>
          </w:p>
        </w:tc>
        <w:tc>
          <w:tcPr>
            <w:tcW w:type="dxa" w:w="2326"/>
            <w:shd w:fill="12123A" w:val="clear"/>
            <w:tcMar>
              <w:top w:type="dxa" w:w="40"/>
              <w:left w:type="dxa" w:w="90"/>
              <w:bottom w:type="dxa" w:w="40"/>
              <w:right w:type="dxa" w:w="90"/>
            </w:tcMar>
          </w:tcPr>
          <w:p>
            <w:r>
              <w:rPr>
                <w:b/>
                <w:bCs/>
                <w:color w:val="FFFFFF"/>
              </w:rPr>
              <w:t xml:space="preserve">Mitigation / action</w:t>
            </w:r>
          </w:p>
        </w:tc>
      </w:tr>
      <w:tr>
        <w:trPr>
          <w:tblHeader w:val="false"/>
        </w:trPr>
        <w:tc>
          <w:tcPr>
            <w:tcW w:type="dxa" w:w="1100"/>
            <w:tcMar>
              <w:top w:type="dxa" w:w="40"/>
              <w:left w:type="dxa" w:w="90"/>
              <w:bottom w:type="dxa" w:w="40"/>
              <w:right w:type="dxa" w:w="90"/>
            </w:tcMar>
          </w:tcPr>
          <w:p>
            <w:r>
              <w:rPr>
                <w:b w:val="false"/>
                <w:bCs w:val="false"/>
              </w:rPr>
              <w:t xml:space="preserve">G-01</w:t>
            </w:r>
          </w:p>
        </w:tc>
        <w:tc>
          <w:tcPr>
            <w:tcW w:type="dxa" w:w="3400"/>
            <w:tcMar>
              <w:top w:type="dxa" w:w="40"/>
              <w:left w:type="dxa" w:w="90"/>
              <w:bottom w:type="dxa" w:w="40"/>
              <w:right w:type="dxa" w:w="90"/>
            </w:tcMar>
          </w:tcPr>
          <w:p>
            <w:r>
              <w:rPr>
                <w:b w:val="false"/>
                <w:bCs w:val="false"/>
              </w:rPr>
              <w:t xml:space="preserve">Native MFT is post-acquisition (May 2025) and still maturing; roadmap items in flight.</w:t>
            </w:r>
          </w:p>
        </w:tc>
        <w:tc>
          <w:tcPr>
            <w:tcW w:type="dxa" w:w="2200"/>
            <w:tcMar>
              <w:top w:type="dxa" w:w="40"/>
              <w:left w:type="dxa" w:w="90"/>
              <w:bottom w:type="dxa" w:w="40"/>
              <w:right w:type="dxa" w:w="90"/>
            </w:tcMar>
          </w:tcPr>
          <w:p>
            <w:r>
              <w:rPr>
                <w:b w:val="false"/>
                <w:bCs w:val="false"/>
              </w:rPr>
              <w:t xml:space="preserve">Feature-parity/roadmap risk.</w:t>
            </w:r>
          </w:p>
        </w:tc>
        <w:tc>
          <w:tcPr>
            <w:tcW w:type="dxa" w:w="2326"/>
            <w:tcMar>
              <w:top w:type="dxa" w:w="40"/>
              <w:left w:type="dxa" w:w="90"/>
              <w:bottom w:type="dxa" w:w="40"/>
              <w:right w:type="dxa" w:w="90"/>
            </w:tcMar>
          </w:tcPr>
          <w:p>
            <w:r>
              <w:rPr>
                <w:b w:val="false"/>
                <w:bCs w:val="false"/>
              </w:rPr>
              <w:t xml:space="preserve">Confirm live GA feature set at build; avoid designing on roadmap-only items.</w:t>
            </w:r>
          </w:p>
        </w:tc>
      </w:tr>
      <w:tr>
        <w:trPr>
          <w:tblHeader w:val="false"/>
        </w:trPr>
        <w:tc>
          <w:tcPr>
            <w:tcW w:type="dxa" w:w="1100"/>
            <w:tcMar>
              <w:top w:type="dxa" w:w="40"/>
              <w:left w:type="dxa" w:w="90"/>
              <w:bottom w:type="dxa" w:w="40"/>
              <w:right w:type="dxa" w:w="90"/>
            </w:tcMar>
          </w:tcPr>
          <w:p>
            <w:r>
              <w:rPr>
                <w:b w:val="false"/>
                <w:bCs w:val="false"/>
              </w:rPr>
              <w:t xml:space="preserve">G-02a</w:t>
            </w:r>
          </w:p>
        </w:tc>
        <w:tc>
          <w:tcPr>
            <w:tcW w:type="dxa" w:w="3400"/>
            <w:tcMar>
              <w:top w:type="dxa" w:w="40"/>
              <w:left w:type="dxa" w:w="90"/>
              <w:bottom w:type="dxa" w:w="40"/>
              <w:right w:type="dxa" w:w="90"/>
            </w:tcMar>
          </w:tcPr>
          <w:p>
            <w:r>
              <w:rPr>
                <w:b w:val="false"/>
                <w:bCs w:val="false"/>
              </w:rPr>
              <w:t xml:space="preserve">Cloud service is SaaS; data residency/assurance for OFFICIAL to be confirmed.</w:t>
            </w:r>
          </w:p>
        </w:tc>
        <w:tc>
          <w:tcPr>
            <w:tcW w:type="dxa" w:w="2200"/>
            <w:tcMar>
              <w:top w:type="dxa" w:w="40"/>
              <w:left w:type="dxa" w:w="90"/>
              <w:bottom w:type="dxa" w:w="40"/>
              <w:right w:type="dxa" w:w="90"/>
            </w:tcMar>
          </w:tcPr>
          <w:p>
            <w:r>
              <w:rPr>
                <w:b w:val="false"/>
                <w:bCs w:val="false"/>
              </w:rPr>
              <w:t xml:space="preserve">Assurance/compliance risk.</w:t>
            </w:r>
          </w:p>
        </w:tc>
        <w:tc>
          <w:tcPr>
            <w:tcW w:type="dxa" w:w="2326"/>
            <w:tcMar>
              <w:top w:type="dxa" w:w="40"/>
              <w:left w:type="dxa" w:w="90"/>
              <w:bottom w:type="dxa" w:w="40"/>
              <w:right w:type="dxa" w:w="90"/>
            </w:tcMar>
          </w:tcPr>
          <w:p>
            <w:r>
              <w:rPr>
                <w:b w:val="false"/>
                <w:bCs w:val="false"/>
              </w:rPr>
              <w:t xml:space="preserve">Confirm UK region; keep payload on-prem via hybrid runtime; assurance review.</w:t>
            </w:r>
          </w:p>
        </w:tc>
      </w:tr>
      <w:tr>
        <w:trPr>
          <w:tblHeader w:val="false"/>
        </w:trPr>
        <w:tc>
          <w:tcPr>
            <w:tcW w:type="dxa" w:w="1100"/>
            <w:tcMar>
              <w:top w:type="dxa" w:w="40"/>
              <w:left w:type="dxa" w:w="90"/>
              <w:bottom w:type="dxa" w:w="40"/>
              <w:right w:type="dxa" w:w="90"/>
            </w:tcMar>
          </w:tcPr>
          <w:p>
            <w:r>
              <w:rPr>
                <w:b w:val="false"/>
                <w:bCs w:val="false"/>
              </w:rPr>
              <w:t xml:space="preserve">G-02b</w:t>
            </w:r>
          </w:p>
        </w:tc>
        <w:tc>
          <w:tcPr>
            <w:tcW w:type="dxa" w:w="3400"/>
            <w:tcMar>
              <w:top w:type="dxa" w:w="40"/>
              <w:left w:type="dxa" w:w="90"/>
              <w:bottom w:type="dxa" w:w="40"/>
              <w:right w:type="dxa" w:w="90"/>
            </w:tcMar>
          </w:tcPr>
          <w:p>
            <w:r>
              <w:rPr>
                <w:b w:val="false"/>
                <w:bCs w:val="false"/>
              </w:rPr>
              <w:t xml:space="preserve">Automated audit retention default is 12 months (schedule history 3 months).</w:t>
            </w:r>
          </w:p>
        </w:tc>
        <w:tc>
          <w:tcPr>
            <w:tcW w:type="dxa" w:w="2200"/>
            <w:tcMar>
              <w:top w:type="dxa" w:w="40"/>
              <w:left w:type="dxa" w:w="90"/>
              <w:bottom w:type="dxa" w:w="40"/>
              <w:right w:type="dxa" w:w="90"/>
            </w:tcMar>
          </w:tcPr>
          <w:p>
            <w:r>
              <w:rPr>
                <w:b w:val="false"/>
                <w:bCs w:val="false"/>
              </w:rPr>
              <w:t xml:space="preserve">May breach statutory retention.</w:t>
            </w:r>
          </w:p>
        </w:tc>
        <w:tc>
          <w:tcPr>
            <w:tcW w:type="dxa" w:w="2326"/>
            <w:tcMar>
              <w:top w:type="dxa" w:w="40"/>
              <w:left w:type="dxa" w:w="90"/>
              <w:bottom w:type="dxa" w:w="40"/>
              <w:right w:type="dxa" w:w="90"/>
            </w:tcMar>
          </w:tcPr>
          <w:p>
            <w:r>
              <w:rPr>
                <w:b w:val="false"/>
                <w:bCs w:val="false"/>
              </w:rPr>
              <w:t xml:space="preserve">Export audit to long-term archive; set retention policy.</w:t>
            </w:r>
          </w:p>
        </w:tc>
      </w:tr>
      <w:tr>
        <w:trPr>
          <w:tblHeader w:val="false"/>
        </w:trPr>
        <w:tc>
          <w:tcPr>
            <w:tcW w:type="dxa" w:w="1100"/>
            <w:tcMar>
              <w:top w:type="dxa" w:w="40"/>
              <w:left w:type="dxa" w:w="90"/>
              <w:bottom w:type="dxa" w:w="40"/>
              <w:right w:type="dxa" w:w="90"/>
            </w:tcMar>
          </w:tcPr>
          <w:p>
            <w:r>
              <w:rPr>
                <w:b w:val="false"/>
                <w:bCs w:val="false"/>
              </w:rPr>
              <w:t xml:space="preserve">G-03</w:t>
            </w:r>
          </w:p>
        </w:tc>
        <w:tc>
          <w:tcPr>
            <w:tcW w:type="dxa" w:w="3400"/>
            <w:tcMar>
              <w:top w:type="dxa" w:w="40"/>
              <w:left w:type="dxa" w:w="90"/>
              <w:bottom w:type="dxa" w:w="40"/>
              <w:right w:type="dxa" w:w="90"/>
            </w:tcMar>
          </w:tcPr>
          <w:p>
            <w:r>
              <w:rPr>
                <w:b w:val="false"/>
                <w:bCs w:val="false"/>
              </w:rPr>
              <w:t xml:space="preserve">Native protocol set centres on SFTP/FTPS/AS2; OFTP2/AS4/PeSIT not native.</w:t>
            </w:r>
          </w:p>
        </w:tc>
        <w:tc>
          <w:tcPr>
            <w:tcW w:type="dxa" w:w="2200"/>
            <w:tcMar>
              <w:top w:type="dxa" w:w="40"/>
              <w:left w:type="dxa" w:w="90"/>
              <w:bottom w:type="dxa" w:w="40"/>
              <w:right w:type="dxa" w:w="90"/>
            </w:tcMar>
          </w:tcPr>
          <w:p>
            <w:r>
              <w:rPr>
                <w:b w:val="false"/>
                <w:bCs w:val="false"/>
              </w:rPr>
              <w:t xml:space="preserve">Gap if partners mandate these.</w:t>
            </w:r>
          </w:p>
        </w:tc>
        <w:tc>
          <w:tcPr>
            <w:tcW w:type="dxa" w:w="2326"/>
            <w:tcMar>
              <w:top w:type="dxa" w:w="40"/>
              <w:left w:type="dxa" w:w="90"/>
              <w:bottom w:type="dxa" w:w="40"/>
              <w:right w:type="dxa" w:w="90"/>
            </w:tcMar>
          </w:tcPr>
          <w:p>
            <w:r>
              <w:rPr>
                <w:b w:val="false"/>
                <w:bCs w:val="false"/>
              </w:rPr>
              <w:t xml:space="preserve">Survey partner protocols; bridge or third-party gateway where required.</w:t>
            </w:r>
          </w:p>
        </w:tc>
      </w:tr>
      <w:tr>
        <w:trPr>
          <w:tblHeader w:val="false"/>
        </w:trPr>
        <w:tc>
          <w:tcPr>
            <w:tcW w:type="dxa" w:w="1100"/>
            <w:tcMar>
              <w:top w:type="dxa" w:w="40"/>
              <w:left w:type="dxa" w:w="90"/>
              <w:bottom w:type="dxa" w:w="40"/>
              <w:right w:type="dxa" w:w="90"/>
            </w:tcMar>
          </w:tcPr>
          <w:p>
            <w:r>
              <w:rPr>
                <w:b w:val="false"/>
                <w:bCs w:val="false"/>
              </w:rPr>
              <w:t xml:space="preserve">G-04</w:t>
            </w:r>
          </w:p>
        </w:tc>
        <w:tc>
          <w:tcPr>
            <w:tcW w:type="dxa" w:w="3400"/>
            <w:tcMar>
              <w:top w:type="dxa" w:w="40"/>
              <w:left w:type="dxa" w:w="90"/>
              <w:bottom w:type="dxa" w:w="40"/>
              <w:right w:type="dxa" w:w="90"/>
            </w:tcMar>
          </w:tcPr>
          <w:p>
            <w:r>
              <w:rPr>
                <w:b w:val="false"/>
                <w:bCs w:val="false"/>
              </w:rPr>
              <w:t xml:space="preserve">Content-based routing/transform beyond filename needs Integration processes.</w:t>
            </w:r>
          </w:p>
        </w:tc>
        <w:tc>
          <w:tcPr>
            <w:tcW w:type="dxa" w:w="2200"/>
            <w:tcMar>
              <w:top w:type="dxa" w:w="40"/>
              <w:left w:type="dxa" w:w="90"/>
              <w:bottom w:type="dxa" w:w="40"/>
              <w:right w:type="dxa" w:w="90"/>
            </w:tcMar>
          </w:tcPr>
          <w:p>
            <w:r>
              <w:rPr>
                <w:b w:val="false"/>
                <w:bCs w:val="false"/>
              </w:rPr>
              <w:t xml:space="preserve">Construction creep vs principle.</w:t>
            </w:r>
          </w:p>
        </w:tc>
        <w:tc>
          <w:tcPr>
            <w:tcW w:type="dxa" w:w="2326"/>
            <w:tcMar>
              <w:top w:type="dxa" w:w="40"/>
              <w:left w:type="dxa" w:w="90"/>
              <w:bottom w:type="dxa" w:w="40"/>
              <w:right w:type="dxa" w:w="90"/>
            </w:tcMar>
          </w:tcPr>
          <w:p>
            <w:r>
              <w:rPr>
                <w:b w:val="false"/>
                <w:bCs w:val="false"/>
              </w:rPr>
              <w:t xml:space="preserve">Keep such logic in the shared engine; DA deviation with named owner.</w:t>
            </w:r>
          </w:p>
        </w:tc>
      </w:tr>
      <w:tr>
        <w:trPr>
          <w:tblHeader w:val="false"/>
        </w:trPr>
        <w:tc>
          <w:tcPr>
            <w:tcW w:type="dxa" w:w="1100"/>
            <w:tcMar>
              <w:top w:type="dxa" w:w="40"/>
              <w:left w:type="dxa" w:w="90"/>
              <w:bottom w:type="dxa" w:w="40"/>
              <w:right w:type="dxa" w:w="90"/>
            </w:tcMar>
          </w:tcPr>
          <w:p>
            <w:r>
              <w:rPr>
                <w:b w:val="false"/>
                <w:bCs w:val="false"/>
              </w:rPr>
              <w:t xml:space="preserve">G-05</w:t>
            </w:r>
          </w:p>
        </w:tc>
        <w:tc>
          <w:tcPr>
            <w:tcW w:type="dxa" w:w="3400"/>
            <w:tcMar>
              <w:top w:type="dxa" w:w="40"/>
              <w:left w:type="dxa" w:w="90"/>
              <w:bottom w:type="dxa" w:w="40"/>
              <w:right w:type="dxa" w:w="90"/>
            </w:tcMar>
          </w:tcPr>
          <w:p>
            <w:r>
              <w:rPr>
                <w:b w:val="false"/>
                <w:bCs w:val="false"/>
              </w:rPr>
              <w:t xml:space="preserve">Batch throughput at HMRC volumes unproven.</w:t>
            </w:r>
          </w:p>
        </w:tc>
        <w:tc>
          <w:tcPr>
            <w:tcW w:type="dxa" w:w="2200"/>
            <w:tcMar>
              <w:top w:type="dxa" w:w="40"/>
              <w:left w:type="dxa" w:w="90"/>
              <w:bottom w:type="dxa" w:w="40"/>
              <w:right w:type="dxa" w:w="90"/>
            </w:tcMar>
          </w:tcPr>
          <w:p>
            <w:r>
              <w:rPr>
                <w:b w:val="false"/>
                <w:bCs w:val="false"/>
              </w:rPr>
              <w:t xml:space="preserve">Performance risk at cutover.</w:t>
            </w:r>
          </w:p>
        </w:tc>
        <w:tc>
          <w:tcPr>
            <w:tcW w:type="dxa" w:w="2326"/>
            <w:tcMar>
              <w:top w:type="dxa" w:w="40"/>
              <w:left w:type="dxa" w:w="90"/>
              <w:bottom w:type="dxa" w:w="40"/>
              <w:right w:type="dxa" w:w="90"/>
            </w:tcMar>
          </w:tcPr>
          <w:p>
            <w:r>
              <w:rPr>
                <w:b w:val="false"/>
                <w:bCs w:val="false"/>
              </w:rPr>
              <w:t xml:space="preserve">Benchmark peak batch before migrating high-volume flows.</w:t>
            </w:r>
          </w:p>
        </w:tc>
      </w:tr>
      <w:tr>
        <w:trPr>
          <w:tblHeader w:val="false"/>
        </w:trPr>
        <w:tc>
          <w:tcPr>
            <w:tcW w:type="dxa" w:w="1100"/>
            <w:tcMar>
              <w:top w:type="dxa" w:w="40"/>
              <w:left w:type="dxa" w:w="90"/>
              <w:bottom w:type="dxa" w:w="40"/>
              <w:right w:type="dxa" w:w="90"/>
            </w:tcMar>
          </w:tcPr>
          <w:p>
            <w:r>
              <w:rPr>
                <w:b w:val="false"/>
                <w:bCs w:val="false"/>
              </w:rPr>
              <w:t xml:space="preserve">G-08</w:t>
            </w:r>
          </w:p>
        </w:tc>
        <w:tc>
          <w:tcPr>
            <w:tcW w:type="dxa" w:w="3400"/>
            <w:tcMar>
              <w:top w:type="dxa" w:w="40"/>
              <w:left w:type="dxa" w:w="90"/>
              <w:bottom w:type="dxa" w:w="40"/>
              <w:right w:type="dxa" w:w="90"/>
            </w:tcMar>
          </w:tcPr>
          <w:p>
            <w:r>
              <w:rPr>
                <w:b w:val="false"/>
                <w:bCs w:val="false"/>
              </w:rPr>
              <w:t xml:space="preserve">MFT gateway HA topology (vs Atom HA) to confirm.</w:t>
            </w:r>
          </w:p>
        </w:tc>
        <w:tc>
          <w:tcPr>
            <w:tcW w:type="dxa" w:w="2200"/>
            <w:tcMar>
              <w:top w:type="dxa" w:w="40"/>
              <w:left w:type="dxa" w:w="90"/>
              <w:bottom w:type="dxa" w:w="40"/>
              <w:right w:type="dxa" w:w="90"/>
            </w:tcMar>
          </w:tcPr>
          <w:p>
            <w:r>
              <w:rPr>
                <w:b w:val="false"/>
                <w:bCs w:val="false"/>
              </w:rPr>
              <w:t xml:space="preserve">Availability risk at edge.</w:t>
            </w:r>
          </w:p>
        </w:tc>
        <w:tc>
          <w:tcPr>
            <w:tcW w:type="dxa" w:w="2326"/>
            <w:tcMar>
              <w:top w:type="dxa" w:w="40"/>
              <w:left w:type="dxa" w:w="90"/>
              <w:bottom w:type="dxa" w:w="40"/>
              <w:right w:type="dxa" w:w="90"/>
            </w:tcMar>
          </w:tcPr>
          <w:p>
            <w:r>
              <w:rPr>
                <w:b w:val="false"/>
                <w:bCs w:val="false"/>
              </w:rPr>
              <w:t xml:space="preserve">Confirm supported gateway clustering with vendor.</w:t>
            </w:r>
          </w:p>
        </w:tc>
      </w:tr>
      <w:tr>
        <w:trPr>
          <w:tblHeader w:val="false"/>
        </w:trPr>
        <w:tc>
          <w:tcPr>
            <w:tcW w:type="dxa" w:w="1100"/>
            <w:tcMar>
              <w:top w:type="dxa" w:w="40"/>
              <w:left w:type="dxa" w:w="90"/>
              <w:bottom w:type="dxa" w:w="40"/>
              <w:right w:type="dxa" w:w="90"/>
            </w:tcMar>
          </w:tcPr>
          <w:p>
            <w:r>
              <w:rPr>
                <w:b w:val="false"/>
                <w:bCs w:val="false"/>
              </w:rPr>
              <w:t xml:space="preserve">G-09</w:t>
            </w:r>
          </w:p>
        </w:tc>
        <w:tc>
          <w:tcPr>
            <w:tcW w:type="dxa" w:w="3400"/>
            <w:tcMar>
              <w:top w:type="dxa" w:w="40"/>
              <w:left w:type="dxa" w:w="90"/>
              <w:bottom w:type="dxa" w:w="40"/>
              <w:right w:type="dxa" w:w="90"/>
            </w:tcMar>
          </w:tcPr>
          <w:p>
            <w:r>
              <w:rPr>
                <w:b w:val="false"/>
                <w:bCs w:val="false"/>
              </w:rPr>
              <w:t xml:space="preserve">Enterprise HSM/KMS integration for keys to confirm.</w:t>
            </w:r>
          </w:p>
        </w:tc>
        <w:tc>
          <w:tcPr>
            <w:tcW w:type="dxa" w:w="2200"/>
            <w:tcMar>
              <w:top w:type="dxa" w:w="40"/>
              <w:left w:type="dxa" w:w="90"/>
              <w:bottom w:type="dxa" w:w="40"/>
              <w:right w:type="dxa" w:w="90"/>
            </w:tcMar>
          </w:tcPr>
          <w:p>
            <w:r>
              <w:rPr>
                <w:b w:val="false"/>
                <w:bCs w:val="false"/>
              </w:rPr>
              <w:t xml:space="preserve">Key-custody assurance.</w:t>
            </w:r>
          </w:p>
        </w:tc>
        <w:tc>
          <w:tcPr>
            <w:tcW w:type="dxa" w:w="2326"/>
            <w:tcMar>
              <w:top w:type="dxa" w:w="40"/>
              <w:left w:type="dxa" w:w="90"/>
              <w:bottom w:type="dxa" w:w="40"/>
              <w:right w:type="dxa" w:w="90"/>
            </w:tcMar>
          </w:tcPr>
          <w:p>
            <w:r>
              <w:rPr>
                <w:b w:val="false"/>
                <w:bCs w:val="false"/>
              </w:rPr>
              <w:t xml:space="preserve">Confirm HSM/KMS integration pattern.</w:t>
            </w:r>
          </w:p>
        </w:tc>
      </w:tr>
      <w:tr>
        <w:trPr>
          <w:tblHeader w:val="false"/>
        </w:trPr>
        <w:tc>
          <w:tcPr>
            <w:tcW w:type="dxa" w:w="1100"/>
            <w:tcMar>
              <w:top w:type="dxa" w:w="40"/>
              <w:left w:type="dxa" w:w="90"/>
              <w:bottom w:type="dxa" w:w="40"/>
              <w:right w:type="dxa" w:w="90"/>
            </w:tcMar>
          </w:tcPr>
          <w:p>
            <w:r>
              <w:rPr>
                <w:b w:val="false"/>
                <w:bCs w:val="false"/>
              </w:rPr>
              <w:t xml:space="preserve">G-10</w:t>
            </w:r>
          </w:p>
        </w:tc>
        <w:tc>
          <w:tcPr>
            <w:tcW w:type="dxa" w:w="3400"/>
            <w:tcMar>
              <w:top w:type="dxa" w:w="40"/>
              <w:left w:type="dxa" w:w="90"/>
              <w:bottom w:type="dxa" w:w="40"/>
              <w:right w:type="dxa" w:w="90"/>
            </w:tcMar>
          </w:tcPr>
          <w:p>
            <w:r>
              <w:rPr>
                <w:b w:val="false"/>
                <w:bCs w:val="false"/>
              </w:rPr>
              <w:t xml:space="preserve">SIEM integration relies on OpenTelemetry export — confirm coverage.</w:t>
            </w:r>
          </w:p>
        </w:tc>
        <w:tc>
          <w:tcPr>
            <w:tcW w:type="dxa" w:w="2200"/>
            <w:tcMar>
              <w:top w:type="dxa" w:w="40"/>
              <w:left w:type="dxa" w:w="90"/>
              <w:bottom w:type="dxa" w:w="40"/>
              <w:right w:type="dxa" w:w="90"/>
            </w:tcMar>
          </w:tcPr>
          <w:p>
            <w:r>
              <w:rPr>
                <w:b w:val="false"/>
                <w:bCs w:val="false"/>
              </w:rPr>
              <w:t xml:space="preserve">Monitoring completeness.</w:t>
            </w:r>
          </w:p>
        </w:tc>
        <w:tc>
          <w:tcPr>
            <w:tcW w:type="dxa" w:w="2326"/>
            <w:tcMar>
              <w:top w:type="dxa" w:w="40"/>
              <w:left w:type="dxa" w:w="90"/>
              <w:bottom w:type="dxa" w:w="40"/>
              <w:right w:type="dxa" w:w="90"/>
            </w:tcMar>
          </w:tcPr>
          <w:p>
            <w:r>
              <w:rPr>
                <w:b w:val="false"/>
                <w:bCs w:val="false"/>
              </w:rPr>
              <w:t xml:space="preserve">Prove OTel → Splunk coverage of MFT events.</w:t>
            </w:r>
          </w:p>
        </w:tc>
      </w:tr>
      <w:tr>
        <w:trPr>
          <w:tblHeader w:val="false"/>
        </w:trPr>
        <w:tc>
          <w:tcPr>
            <w:tcW w:type="dxa" w:w="1100"/>
            <w:tcMar>
              <w:top w:type="dxa" w:w="40"/>
              <w:left w:type="dxa" w:w="90"/>
              <w:bottom w:type="dxa" w:w="40"/>
              <w:right w:type="dxa" w:w="90"/>
            </w:tcMar>
          </w:tcPr>
          <w:p>
            <w:r>
              <w:rPr>
                <w:b w:val="false"/>
                <w:bCs w:val="false"/>
              </w:rPr>
              <w:t xml:space="preserve">G-11</w:t>
            </w:r>
          </w:p>
        </w:tc>
        <w:tc>
          <w:tcPr>
            <w:tcW w:type="dxa" w:w="3400"/>
            <w:tcMar>
              <w:top w:type="dxa" w:w="40"/>
              <w:left w:type="dxa" w:w="90"/>
              <w:bottom w:type="dxa" w:w="40"/>
              <w:right w:type="dxa" w:w="90"/>
            </w:tcMar>
          </w:tcPr>
          <w:p>
            <w:r>
              <w:rPr>
                <w:b w:val="false"/>
                <w:bCs w:val="false"/>
              </w:rPr>
              <w:t xml:space="preserve">Cloud AV limited to ~250 MB and does not auto-cover east-west; runtime AV patch pending.</w:t>
            </w:r>
          </w:p>
        </w:tc>
        <w:tc>
          <w:tcPr>
            <w:tcW w:type="dxa" w:w="2200"/>
            <w:tcMar>
              <w:top w:type="dxa" w:w="40"/>
              <w:left w:type="dxa" w:w="90"/>
              <w:bottom w:type="dxa" w:w="40"/>
              <w:right w:type="dxa" w:w="90"/>
            </w:tcMar>
          </w:tcPr>
          <w:p>
            <w:r>
              <w:rPr>
                <w:b w:val="false"/>
                <w:bCs w:val="false"/>
              </w:rPr>
              <w:t xml:space="preserve">Malware-scan coverage gap.</w:t>
            </w:r>
          </w:p>
        </w:tc>
        <w:tc>
          <w:tcPr>
            <w:tcW w:type="dxa" w:w="2326"/>
            <w:tcMar>
              <w:top w:type="dxa" w:w="40"/>
              <w:left w:type="dxa" w:w="90"/>
              <w:bottom w:type="dxa" w:w="40"/>
              <w:right w:type="dxa" w:w="90"/>
            </w:tcMar>
          </w:tcPr>
          <w:p>
            <w:r>
              <w:rPr>
                <w:b w:val="false"/>
                <w:bCs w:val="false"/>
              </w:rPr>
              <w:t xml:space="preserve">Confirm runtime AV patch GA; size/ICAP strategy for oversize files.</w:t>
            </w:r>
          </w:p>
        </w:tc>
      </w:tr>
      <w:tr>
        <w:trPr>
          <w:tblHeader w:val="false"/>
        </w:trPr>
        <w:tc>
          <w:tcPr>
            <w:tcW w:type="dxa" w:w="1100"/>
            <w:tcMar>
              <w:top w:type="dxa" w:w="40"/>
              <w:left w:type="dxa" w:w="90"/>
              <w:bottom w:type="dxa" w:w="40"/>
              <w:right w:type="dxa" w:w="90"/>
            </w:tcMar>
          </w:tcPr>
          <w:p>
            <w:r>
              <w:rPr>
                <w:b w:val="false"/>
                <w:bCs w:val="false"/>
              </w:rPr>
              <w:t xml:space="preserve">G-13</w:t>
            </w:r>
          </w:p>
        </w:tc>
        <w:tc>
          <w:tcPr>
            <w:tcW w:type="dxa" w:w="3400"/>
            <w:tcMar>
              <w:top w:type="dxa" w:w="40"/>
              <w:left w:type="dxa" w:w="90"/>
              <w:bottom w:type="dxa" w:w="40"/>
              <w:right w:type="dxa" w:w="90"/>
            </w:tcMar>
          </w:tcPr>
          <w:p>
            <w:r>
              <w:rPr>
                <w:b w:val="false"/>
                <w:bCs w:val="false"/>
              </w:rPr>
              <w:t xml:space="preserve">No native CI/CD pipeline for MFT configuration.</w:t>
            </w:r>
          </w:p>
        </w:tc>
        <w:tc>
          <w:tcPr>
            <w:tcW w:type="dxa" w:w="2200"/>
            <w:tcMar>
              <w:top w:type="dxa" w:w="40"/>
              <w:left w:type="dxa" w:w="90"/>
              <w:bottom w:type="dxa" w:w="40"/>
              <w:right w:type="dxa" w:w="90"/>
            </w:tcMar>
          </w:tcPr>
          <w:p>
            <w:r>
              <w:rPr>
                <w:b w:val="false"/>
                <w:bCs w:val="false"/>
              </w:rPr>
              <w:t xml:space="preserve">Manual promotion; weaker traceability.</w:t>
            </w:r>
          </w:p>
        </w:tc>
        <w:tc>
          <w:tcPr>
            <w:tcW w:type="dxa" w:w="2326"/>
            <w:tcMar>
              <w:top w:type="dxa" w:w="40"/>
              <w:left w:type="dxa" w:w="90"/>
              <w:bottom w:type="dxa" w:w="40"/>
              <w:right w:type="dxa" w:w="90"/>
            </w:tcMar>
          </w:tcPr>
          <w:p>
            <w:r>
              <w:rPr>
                <w:b w:val="false"/>
                <w:bCs w:val="false"/>
              </w:rPr>
              <w:t xml:space="preserve">Build external CI/CD over AtomSphere APIs; hold catalogue in Git; gated, audited promotion.</w:t>
            </w:r>
          </w:p>
        </w:tc>
      </w:tr>
      <w:tr>
        <w:trPr>
          <w:tblHeader w:val="false"/>
        </w:trPr>
        <w:tc>
          <w:tcPr>
            <w:tcW w:type="dxa" w:w="1100"/>
            <w:tcMar>
              <w:top w:type="dxa" w:w="40"/>
              <w:left w:type="dxa" w:w="90"/>
              <w:bottom w:type="dxa" w:w="40"/>
              <w:right w:type="dxa" w:w="90"/>
            </w:tcMar>
          </w:tcPr>
          <w:p>
            <w:r>
              <w:rPr>
                <w:b w:val="false"/>
                <w:bCs w:val="false"/>
              </w:rPr>
              <w:t xml:space="preserve">G-14</w:t>
            </w:r>
          </w:p>
        </w:tc>
        <w:tc>
          <w:tcPr>
            <w:tcW w:type="dxa" w:w="3400"/>
            <w:tcMar>
              <w:top w:type="dxa" w:w="40"/>
              <w:left w:type="dxa" w:w="90"/>
              <w:bottom w:type="dxa" w:w="40"/>
              <w:right w:type="dxa" w:w="90"/>
            </w:tcMar>
          </w:tcPr>
          <w:p>
            <w:r>
              <w:rPr>
                <w:b w:val="false"/>
                <w:bCs w:val="false"/>
              </w:rPr>
              <w:t xml:space="preserve">No native path to source MFT credentials from the enterprise secrets manager (e.g. CyberArk).</w:t>
            </w:r>
          </w:p>
        </w:tc>
        <w:tc>
          <w:tcPr>
            <w:tcW w:type="dxa" w:w="2200"/>
            <w:tcMar>
              <w:top w:type="dxa" w:w="40"/>
              <w:left w:type="dxa" w:w="90"/>
              <w:bottom w:type="dxa" w:w="40"/>
              <w:right w:type="dxa" w:w="90"/>
            </w:tcMar>
          </w:tcPr>
          <w:p>
            <w:r>
              <w:rPr>
                <w:b w:val="false"/>
                <w:bCs w:val="false"/>
              </w:rPr>
              <w:t xml:space="preserve">Weaker central rotation and PAM governance.</w:t>
            </w:r>
          </w:p>
        </w:tc>
        <w:tc>
          <w:tcPr>
            <w:tcW w:type="dxa" w:w="2326"/>
            <w:tcMar>
              <w:top w:type="dxa" w:w="40"/>
              <w:left w:type="dxa" w:w="90"/>
              <w:bottom w:type="dxa" w:w="40"/>
              <w:right w:type="dxa" w:w="90"/>
            </w:tcMar>
          </w:tcPr>
          <w:p>
            <w:r>
              <w:rPr>
                <w:b w:val="false"/>
                <w:bCs w:val="false"/>
              </w:rPr>
              <w:t xml:space="preserve">Validate with vendor; broker via Integration/secrets service or controlled vault sync; agree with Security.</w:t>
            </w:r>
          </w:p>
        </w:tc>
      </w:tr>
    </w:tbl>
    <w:p>
      <w:pPr>
        <w:spacing w:after="100"/>
      </w:pPr>
      <w:r>
        <w:rPr>
          <w:i/>
          <w:iCs/>
        </w:rPr>
        <w:t xml:space="preserve">Note: the earlier G-12 (WebMethods→Boomi migration tooling) is removed from this SDD — WebMethods is not the file-transfer platform here; any orchestration migration belongs to the separate integration design.</w:t>
      </w:r>
    </w:p>
    <w:p>
      <w:pPr>
        <w:pStyle w:val="Heading1"/>
        <w:spacing w:after="120" w:before="260"/>
      </w:pPr>
      <w:r>
        <w:rPr>
          <w:b/>
          <w:bCs/>
          <w:color w:val="12123A"/>
        </w:rPr>
        <w:t xml:space="preserve">14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26"/>
      </w:tblGrid>
      <w:tr>
        <w:trPr>
          <w:tblHeader/>
        </w:trPr>
        <w:tc>
          <w:tcPr>
            <w:tcW w:type="dxa" w:w="1300"/>
            <w:shd w:fill="12123A" w:val="clear"/>
            <w:tcMar>
              <w:top w:type="dxa" w:w="40"/>
              <w:left w:type="dxa" w:w="90"/>
              <w:bottom w:type="dxa" w:w="40"/>
              <w:right w:type="dxa" w:w="90"/>
            </w:tcMar>
          </w:tcPr>
          <w:p>
            <w:r>
              <w:rPr>
                <w:b/>
                <w:bCs/>
                <w:color w:val="FFFFFF"/>
              </w:rPr>
              <w:t xml:space="preserve">Ref</w:t>
            </w:r>
          </w:p>
        </w:tc>
        <w:tc>
          <w:tcPr>
            <w:tcW w:type="dxa" w:w="3600"/>
            <w:shd w:fill="12123A" w:val="clear"/>
            <w:tcMar>
              <w:top w:type="dxa" w:w="40"/>
              <w:left w:type="dxa" w:w="90"/>
              <w:bottom w:type="dxa" w:w="40"/>
              <w:right w:type="dxa" w:w="90"/>
            </w:tcMar>
          </w:tcPr>
          <w:p>
            <w:r>
              <w:rPr>
                <w:b/>
                <w:bCs/>
                <w:color w:val="FFFFFF"/>
              </w:rPr>
              <w:t xml:space="preserve">Decision</w:t>
            </w:r>
          </w:p>
        </w:tc>
        <w:tc>
          <w:tcPr>
            <w:tcW w:type="dxa" w:w="4126"/>
            <w:shd w:fill="12123A" w:val="clear"/>
            <w:tcMar>
              <w:top w:type="dxa" w:w="40"/>
              <w:left w:type="dxa" w:w="90"/>
              <w:bottom w:type="dxa" w:w="40"/>
              <w:right w:type="dxa" w:w="90"/>
            </w:tcMar>
          </w:tcPr>
          <w:p>
            <w:r>
              <w:rPr>
                <w:b/>
                <w:bCs/>
                <w:color w:val="FFFFFF"/>
              </w:rPr>
              <w:t xml:space="preserve">Rationale</w:t>
            </w:r>
          </w:p>
        </w:tc>
      </w:tr>
      <w:tr>
        <w:trPr>
          <w:tblHeader w:val="false"/>
        </w:trPr>
        <w:tc>
          <w:tcPr>
            <w:tcW w:type="dxa" w:w="1300"/>
            <w:tcMar>
              <w:top w:type="dxa" w:w="40"/>
              <w:left w:type="dxa" w:w="90"/>
              <w:bottom w:type="dxa" w:w="40"/>
              <w:right w:type="dxa" w:w="90"/>
            </w:tcMar>
          </w:tcPr>
          <w:p>
            <w:r>
              <w:rPr>
                <w:b w:val="false"/>
                <w:bCs w:val="false"/>
              </w:rPr>
              <w:t xml:space="preserve">DD-01</w:t>
            </w:r>
          </w:p>
        </w:tc>
        <w:tc>
          <w:tcPr>
            <w:tcW w:type="dxa" w:w="3600"/>
            <w:tcMar>
              <w:top w:type="dxa" w:w="40"/>
              <w:left w:type="dxa" w:w="90"/>
              <w:bottom w:type="dxa" w:w="40"/>
              <w:right w:type="dxa" w:w="90"/>
            </w:tcMar>
          </w:tcPr>
          <w:p>
            <w:r>
              <w:rPr>
                <w:b w:val="false"/>
                <w:bCs w:val="false"/>
              </w:rPr>
              <w:t xml:space="preserve">Adopt Boomi native MFT (Thru) as strategic MFT, complementing ESDES/SDS.</w:t>
            </w:r>
          </w:p>
        </w:tc>
        <w:tc>
          <w:tcPr>
            <w:tcW w:type="dxa" w:w="4126"/>
            <w:tcMar>
              <w:top w:type="dxa" w:w="40"/>
              <w:left w:type="dxa" w:w="90"/>
              <w:bottom w:type="dxa" w:w="40"/>
              <w:right w:type="dxa" w:w="90"/>
            </w:tcMar>
          </w:tcPr>
          <w:p>
            <w:r>
              <w:rPr>
                <w:b w:val="false"/>
                <w:bCs w:val="false"/>
              </w:rPr>
              <w:t xml:space="preserve">One platform; unifies API/app/file movement; adds visibility, large-file and low-code strengths.</w:t>
            </w:r>
          </w:p>
        </w:tc>
      </w:tr>
      <w:tr>
        <w:trPr>
          <w:tblHeader w:val="false"/>
        </w:trPr>
        <w:tc>
          <w:tcPr>
            <w:tcW w:type="dxa" w:w="1300"/>
            <w:tcMar>
              <w:top w:type="dxa" w:w="40"/>
              <w:left w:type="dxa" w:w="90"/>
              <w:bottom w:type="dxa" w:w="40"/>
              <w:right w:type="dxa" w:w="90"/>
            </w:tcMar>
          </w:tcPr>
          <w:p>
            <w:r>
              <w:rPr>
                <w:b w:val="false"/>
                <w:bCs w:val="false"/>
              </w:rPr>
              <w:t xml:space="preserve">DD-02</w:t>
            </w:r>
          </w:p>
        </w:tc>
        <w:tc>
          <w:tcPr>
            <w:tcW w:type="dxa" w:w="3600"/>
            <w:tcMar>
              <w:top w:type="dxa" w:w="40"/>
              <w:left w:type="dxa" w:w="90"/>
              <w:bottom w:type="dxa" w:w="40"/>
              <w:right w:type="dxa" w:w="90"/>
            </w:tcMar>
          </w:tcPr>
          <w:p>
            <w:r>
              <w:rPr>
                <w:b w:val="false"/>
                <w:bCs w:val="false"/>
              </w:rPr>
              <w:t xml:space="preserve">Single generic, config-driven MFT engine.</w:t>
            </w:r>
          </w:p>
        </w:tc>
        <w:tc>
          <w:tcPr>
            <w:tcW w:type="dxa" w:w="4126"/>
            <w:tcMar>
              <w:top w:type="dxa" w:w="40"/>
              <w:left w:type="dxa" w:w="90"/>
              <w:bottom w:type="dxa" w:w="40"/>
              <w:right w:type="dxa" w:w="90"/>
            </w:tcMar>
          </w:tcPr>
          <w:p>
            <w:r>
              <w:rPr>
                <w:b w:val="false"/>
                <w:bCs w:val="false"/>
              </w:rPr>
              <w:t xml:space="preserve">Config over construction; governable, uniform, cheap to scale.</w:t>
            </w:r>
          </w:p>
        </w:tc>
      </w:tr>
      <w:tr>
        <w:trPr>
          <w:tblHeader w:val="false"/>
        </w:trPr>
        <w:tc>
          <w:tcPr>
            <w:tcW w:type="dxa" w:w="1300"/>
            <w:tcMar>
              <w:top w:type="dxa" w:w="40"/>
              <w:left w:type="dxa" w:w="90"/>
              <w:bottom w:type="dxa" w:w="40"/>
              <w:right w:type="dxa" w:w="90"/>
            </w:tcMar>
          </w:tcPr>
          <w:p>
            <w:r>
              <w:rPr>
                <w:b w:val="false"/>
                <w:bCs w:val="false"/>
              </w:rPr>
              <w:t xml:space="preserve">DD-03</w:t>
            </w:r>
          </w:p>
        </w:tc>
        <w:tc>
          <w:tcPr>
            <w:tcW w:type="dxa" w:w="3600"/>
            <w:tcMar>
              <w:top w:type="dxa" w:w="40"/>
              <w:left w:type="dxa" w:w="90"/>
              <w:bottom w:type="dxa" w:w="40"/>
              <w:right w:type="dxa" w:w="90"/>
            </w:tcMar>
          </w:tcPr>
          <w:p>
            <w:r>
              <w:rPr>
                <w:b w:val="false"/>
                <w:bCs w:val="false"/>
              </w:rPr>
              <w:t xml:space="preserve">DB-backed config/routing catalogue as single source, held in Git.</w:t>
            </w:r>
          </w:p>
        </w:tc>
        <w:tc>
          <w:tcPr>
            <w:tcW w:type="dxa" w:w="4126"/>
            <w:tcMar>
              <w:top w:type="dxa" w:w="40"/>
              <w:left w:type="dxa" w:w="90"/>
              <w:bottom w:type="dxa" w:w="40"/>
              <w:right w:type="dxa" w:w="90"/>
            </w:tcMar>
          </w:tcPr>
          <w:p>
            <w:r>
              <w:rPr>
                <w:b w:val="false"/>
                <w:bCs w:val="false"/>
              </w:rPr>
              <w:t xml:space="preserve">Consumed by the engine; auditable, diffable and promotable.</w:t>
            </w:r>
          </w:p>
        </w:tc>
      </w:tr>
      <w:tr>
        <w:trPr>
          <w:tblHeader w:val="false"/>
        </w:trPr>
        <w:tc>
          <w:tcPr>
            <w:tcW w:type="dxa" w:w="1300"/>
            <w:tcMar>
              <w:top w:type="dxa" w:w="40"/>
              <w:left w:type="dxa" w:w="90"/>
              <w:bottom w:type="dxa" w:w="40"/>
              <w:right w:type="dxa" w:w="90"/>
            </w:tcMar>
          </w:tcPr>
          <w:p>
            <w:r>
              <w:rPr>
                <w:b w:val="false"/>
                <w:bCs w:val="false"/>
              </w:rPr>
              <w:t xml:space="preserve">DD-04</w:t>
            </w:r>
          </w:p>
        </w:tc>
        <w:tc>
          <w:tcPr>
            <w:tcW w:type="dxa" w:w="3600"/>
            <w:tcMar>
              <w:top w:type="dxa" w:w="40"/>
              <w:left w:type="dxa" w:w="90"/>
              <w:bottom w:type="dxa" w:w="40"/>
              <w:right w:type="dxa" w:w="90"/>
            </w:tcMar>
          </w:tcPr>
          <w:p>
            <w:r>
              <w:rPr>
                <w:b w:val="false"/>
                <w:bCs w:val="false"/>
              </w:rPr>
              <w:t xml:space="preserve">Hybrid topology; runtime agents on-prem as brokers.</w:t>
            </w:r>
          </w:p>
        </w:tc>
        <w:tc>
          <w:tcPr>
            <w:tcW w:type="dxa" w:w="4126"/>
            <w:tcMar>
              <w:top w:type="dxa" w:w="40"/>
              <w:left w:type="dxa" w:w="90"/>
              <w:bottom w:type="dxa" w:w="40"/>
              <w:right w:type="dxa" w:w="90"/>
            </w:tcMar>
          </w:tcPr>
          <w:p>
            <w:r>
              <w:rPr>
                <w:b w:val="false"/>
                <w:bCs w:val="false"/>
              </w:rPr>
              <w:t xml:space="preserve">Keeps OFFICIAL payload in the trusted boundary; supports east-west.</w:t>
            </w:r>
          </w:p>
        </w:tc>
      </w:tr>
      <w:tr>
        <w:trPr>
          <w:tblHeader w:val="false"/>
        </w:trPr>
        <w:tc>
          <w:tcPr>
            <w:tcW w:type="dxa" w:w="1300"/>
            <w:tcMar>
              <w:top w:type="dxa" w:w="40"/>
              <w:left w:type="dxa" w:w="90"/>
              <w:bottom w:type="dxa" w:w="40"/>
              <w:right w:type="dxa" w:w="90"/>
            </w:tcMar>
          </w:tcPr>
          <w:p>
            <w:r>
              <w:rPr>
                <w:b w:val="false"/>
                <w:bCs w:val="false"/>
              </w:rPr>
              <w:t xml:space="preserve">DD-05</w:t>
            </w:r>
          </w:p>
        </w:tc>
        <w:tc>
          <w:tcPr>
            <w:tcW w:type="dxa" w:w="3600"/>
            <w:tcMar>
              <w:top w:type="dxa" w:w="40"/>
              <w:left w:type="dxa" w:w="90"/>
              <w:bottom w:type="dxa" w:w="40"/>
              <w:right w:type="dxa" w:w="90"/>
            </w:tcMar>
          </w:tcPr>
          <w:p>
            <w:r>
              <w:rPr>
                <w:b w:val="false"/>
                <w:bCs w:val="false"/>
              </w:rPr>
              <w:t xml:space="preserve">API gateway (Kong) in the trusted zone; edge gateway in DMZ.</w:t>
            </w:r>
          </w:p>
        </w:tc>
        <w:tc>
          <w:tcPr>
            <w:tcW w:type="dxa" w:w="4126"/>
            <w:tcMar>
              <w:top w:type="dxa" w:w="40"/>
              <w:left w:type="dxa" w:w="90"/>
              <w:bottom w:type="dxa" w:w="40"/>
              <w:right w:type="dxa" w:w="90"/>
            </w:tcMar>
          </w:tcPr>
          <w:p>
            <w:r>
              <w:rPr>
                <w:b w:val="false"/>
                <w:bCs w:val="false"/>
              </w:rPr>
              <w:t xml:space="preserve">Standard zoning; minimises attack surface.</w:t>
            </w:r>
          </w:p>
        </w:tc>
      </w:tr>
      <w:tr>
        <w:trPr>
          <w:tblHeader w:val="false"/>
        </w:trPr>
        <w:tc>
          <w:tcPr>
            <w:tcW w:type="dxa" w:w="1300"/>
            <w:tcMar>
              <w:top w:type="dxa" w:w="40"/>
              <w:left w:type="dxa" w:w="90"/>
              <w:bottom w:type="dxa" w:w="40"/>
              <w:right w:type="dxa" w:w="90"/>
            </w:tcMar>
          </w:tcPr>
          <w:p>
            <w:r>
              <w:rPr>
                <w:b w:val="false"/>
                <w:bCs w:val="false"/>
              </w:rPr>
              <w:t xml:space="preserve">DD-06</w:t>
            </w:r>
          </w:p>
        </w:tc>
        <w:tc>
          <w:tcPr>
            <w:tcW w:type="dxa" w:w="3600"/>
            <w:tcMar>
              <w:top w:type="dxa" w:w="40"/>
              <w:left w:type="dxa" w:w="90"/>
              <w:bottom w:type="dxa" w:w="40"/>
              <w:right w:type="dxa" w:w="90"/>
            </w:tcMar>
          </w:tcPr>
          <w:p>
            <w:r>
              <w:rPr>
                <w:b w:val="false"/>
                <w:bCs w:val="false"/>
              </w:rPr>
              <w:t xml:space="preserve">PGP mandatory for OFFICIAL(-SENSITIVE) payloads.</w:t>
            </w:r>
          </w:p>
        </w:tc>
        <w:tc>
          <w:tcPr>
            <w:tcW w:type="dxa" w:w="4126"/>
            <w:tcMar>
              <w:top w:type="dxa" w:w="40"/>
              <w:left w:type="dxa" w:w="90"/>
              <w:bottom w:type="dxa" w:w="40"/>
              <w:right w:type="dxa" w:w="90"/>
            </w:tcMar>
          </w:tcPr>
          <w:p>
            <w:r>
              <w:rPr>
                <w:b w:val="false"/>
                <w:bCs w:val="false"/>
              </w:rPr>
              <w:t xml:space="preserve">Data protection at rest end to end.</w:t>
            </w:r>
          </w:p>
        </w:tc>
      </w:tr>
      <w:tr>
        <w:trPr>
          <w:tblHeader w:val="false"/>
        </w:trPr>
        <w:tc>
          <w:tcPr>
            <w:tcW w:type="dxa" w:w="1300"/>
            <w:tcMar>
              <w:top w:type="dxa" w:w="40"/>
              <w:left w:type="dxa" w:w="90"/>
              <w:bottom w:type="dxa" w:w="40"/>
              <w:right w:type="dxa" w:w="90"/>
            </w:tcMar>
          </w:tcPr>
          <w:p>
            <w:r>
              <w:rPr>
                <w:b w:val="false"/>
                <w:bCs w:val="false"/>
              </w:rPr>
              <w:t xml:space="preserve">DD-07</w:t>
            </w:r>
          </w:p>
        </w:tc>
        <w:tc>
          <w:tcPr>
            <w:tcW w:type="dxa" w:w="3600"/>
            <w:tcMar>
              <w:top w:type="dxa" w:w="40"/>
              <w:left w:type="dxa" w:w="90"/>
              <w:bottom w:type="dxa" w:w="40"/>
              <w:right w:type="dxa" w:w="90"/>
            </w:tcMar>
          </w:tcPr>
          <w:p>
            <w:r>
              <w:rPr>
                <w:b w:val="false"/>
                <w:bCs w:val="false"/>
              </w:rPr>
              <w:t xml:space="preserve">Export audit to long-term archive.</w:t>
            </w:r>
          </w:p>
        </w:tc>
        <w:tc>
          <w:tcPr>
            <w:tcW w:type="dxa" w:w="4126"/>
            <w:tcMar>
              <w:top w:type="dxa" w:w="40"/>
              <w:left w:type="dxa" w:w="90"/>
              <w:bottom w:type="dxa" w:w="40"/>
              <w:right w:type="dxa" w:w="90"/>
            </w:tcMar>
          </w:tcPr>
          <w:p>
            <w:r>
              <w:rPr>
                <w:b w:val="false"/>
                <w:bCs w:val="false"/>
              </w:rPr>
              <w:t xml:space="preserve">Native 12-month retention insufficient for statutory needs.</w:t>
            </w:r>
          </w:p>
        </w:tc>
      </w:tr>
    </w:tbl>
    <w:p>
      <w:pPr>
        <w:pStyle w:val="Heading1"/>
        <w:spacing w:after="120" w:before="260"/>
      </w:pPr>
      <w:r>
        <w:rPr>
          <w:b/>
          <w:bCs/>
          <w:color w:val="12123A"/>
        </w:rPr>
        <w:t xml:space="preserve">15  Risks, assumptions, issues, dependencies</w:t>
      </w:r>
    </w:p>
    <w:p>
      <w:pPr>
        <w:pStyle w:val="Heading2"/>
        <w:spacing w:after="80" w:before="160"/>
      </w:pPr>
      <w:r>
        <w:rPr>
          <w:b/>
          <w:bCs/>
          <w:color w:val="12123A"/>
        </w:rPr>
        <w:t xml:space="preserve">15.1  Risks</w:t>
      </w:r>
    </w:p>
    <w:p>
      <w:pPr>
        <w:pStyle w:val="ListParagraph"/>
        <w:numPr>
          <w:ilvl w:val="0"/>
          <w:numId w:val="1"/>
        </w:numPr>
        <w:spacing w:after="40"/>
      </w:pPr>
      <w:r>
        <w:t xml:space="preserve">Product maturity/roadmap dependence (G-01) could delay features relied upon, including the runtime AV patch (G-11).</w:t>
      </w:r>
    </w:p>
    <w:p>
      <w:pPr>
        <w:pStyle w:val="ListParagraph"/>
        <w:numPr>
          <w:ilvl w:val="0"/>
          <w:numId w:val="1"/>
        </w:numPr>
        <w:spacing w:after="40"/>
      </w:pPr>
      <w:r>
        <w:t xml:space="preserve">Data-residency/assurance for OFFICIAL unresolved could block go-live (G-02a).</w:t>
      </w:r>
    </w:p>
    <w:p>
      <w:pPr>
        <w:pStyle w:val="ListParagraph"/>
        <w:numPr>
          <w:ilvl w:val="0"/>
          <w:numId w:val="1"/>
        </w:numPr>
        <w:spacing w:after="40"/>
      </w:pPr>
      <w:r>
        <w:t xml:space="preserve">Throughput at HMRC batch volumes unproven (G-05).</w:t>
      </w:r>
    </w:p>
    <w:p>
      <w:pPr>
        <w:pStyle w:val="Heading2"/>
        <w:spacing w:after="80" w:before="160"/>
      </w:pPr>
      <w:r>
        <w:rPr>
          <w:b/>
          <w:bCs/>
          <w:color w:val="12123A"/>
        </w:rPr>
        <w:t xml:space="preserve">15.2  Assumptions</w:t>
      </w:r>
    </w:p>
    <w:p>
      <w:pPr>
        <w:pStyle w:val="ListParagraph"/>
        <w:numPr>
          <w:ilvl w:val="0"/>
          <w:numId w:val="1"/>
        </w:numPr>
        <w:spacing w:after="40"/>
      </w:pPr>
      <w:r>
        <w:t xml:space="preserve">A UK-region/assured cloud-service option is available for OFFICIAL.</w:t>
      </w:r>
    </w:p>
    <w:p>
      <w:pPr>
        <w:pStyle w:val="ListParagraph"/>
        <w:numPr>
          <w:ilvl w:val="0"/>
          <w:numId w:val="1"/>
        </w:numPr>
        <w:spacing w:after="40"/>
      </w:pPr>
      <w:r>
        <w:t xml:space="preserve">Partners predominantly support SFTP/FTPS/AS2.</w:t>
      </w:r>
    </w:p>
    <w:p>
      <w:pPr>
        <w:pStyle w:val="ListParagraph"/>
        <w:numPr>
          <w:ilvl w:val="0"/>
          <w:numId w:val="1"/>
        </w:numPr>
        <w:spacing w:after="40"/>
      </w:pPr>
      <w:r>
        <w:t xml:space="preserve">ESDES and SDS remain the incumbents; Boomi MFT complements them.</w:t>
      </w:r>
    </w:p>
    <w:p>
      <w:pPr>
        <w:pStyle w:val="ListParagraph"/>
        <w:numPr>
          <w:ilvl w:val="0"/>
          <w:numId w:val="1"/>
        </w:numPr>
        <w:spacing w:after="40"/>
      </w:pPr>
      <w:r>
        <w:t xml:space="preserve">Enterprise SIEM can ingest OpenTelemetry; HSM/KMS integration is feasible.</w:t>
      </w:r>
    </w:p>
    <w:p>
      <w:pPr>
        <w:pStyle w:val="Heading2"/>
        <w:spacing w:after="80" w:before="160"/>
      </w:pPr>
      <w:r>
        <w:rPr>
          <w:b/>
          <w:bCs/>
          <w:color w:val="12123A"/>
        </w:rPr>
        <w:t xml:space="preserve">15.3  Issues</w:t>
      </w:r>
    </w:p>
    <w:p>
      <w:pPr>
        <w:pStyle w:val="ListParagraph"/>
        <w:numPr>
          <w:ilvl w:val="0"/>
          <w:numId w:val="1"/>
        </w:numPr>
        <w:spacing w:after="40"/>
      </w:pPr>
      <w:r>
        <w:t xml:space="preserve">Native audit retention default (12 months) is below likely statutory requirements — open until archive design agreed.</w:t>
      </w:r>
    </w:p>
    <w:p>
      <w:pPr>
        <w:pStyle w:val="Heading2"/>
        <w:spacing w:after="80" w:before="160"/>
      </w:pPr>
      <w:r>
        <w:rPr>
          <w:b/>
          <w:bCs/>
          <w:color w:val="12123A"/>
        </w:rPr>
        <w:t xml:space="preserve">15.4  Dependencies</w:t>
      </w:r>
    </w:p>
    <w:p>
      <w:pPr>
        <w:pStyle w:val="ListParagraph"/>
        <w:numPr>
          <w:ilvl w:val="0"/>
          <w:numId w:val="1"/>
        </w:numPr>
        <w:spacing w:after="40"/>
      </w:pPr>
      <w:r>
        <w:t xml:space="preserve">Network/firewall low-level design for DMZ and trusted-zone connectivity.</w:t>
      </w:r>
    </w:p>
    <w:p>
      <w:pPr>
        <w:pStyle w:val="ListParagraph"/>
        <w:numPr>
          <w:ilvl w:val="0"/>
          <w:numId w:val="1"/>
        </w:numPr>
        <w:spacing w:after="40"/>
      </w:pPr>
      <w:r>
        <w:t xml:space="preserve">Enterprise IdP/SSO for operator access (to confirm).</w:t>
      </w:r>
    </w:p>
    <w:p>
      <w:pPr>
        <w:pStyle w:val="ListParagraph"/>
        <w:numPr>
          <w:ilvl w:val="0"/>
          <w:numId w:val="1"/>
        </w:numPr>
        <w:spacing w:after="40"/>
      </w:pPr>
      <w:r>
        <w:t xml:space="preserve">Enterprise HSM/KMS for key custody.</w:t>
      </w:r>
    </w:p>
    <w:p>
      <w:pPr>
        <w:pStyle w:val="ListParagraph"/>
        <w:numPr>
          <w:ilvl w:val="0"/>
          <w:numId w:val="1"/>
        </w:numPr>
        <w:spacing w:after="40"/>
      </w:pPr>
      <w:r>
        <w:t xml:space="preserve">Enterprise secrets manager (e.g. CyberArk) — MFT credential sourcing to validate (G-14).</w:t>
      </w:r>
    </w:p>
    <w:p>
      <w:pPr>
        <w:pStyle w:val="ListParagraph"/>
        <w:numPr>
          <w:ilvl w:val="0"/>
          <w:numId w:val="1"/>
        </w:numPr>
        <w:spacing w:after="40"/>
      </w:pPr>
      <w:r>
        <w:t xml:space="preserve">External DevOps/CI-CD tooling and AtomSphere API entitlements for config promotion (G-13).</w:t>
      </w:r>
    </w:p>
    <w:p>
      <w:pPr>
        <w:pStyle w:val="Heading1"/>
        <w:spacing w:after="120" w:before="260"/>
      </w:pPr>
      <w:r>
        <w:rPr>
          <w:b/>
          <w:bCs/>
          <w:color w:val="12123A"/>
        </w:rPr>
        <w:t xml:space="preserve">16  Open questions for the Design Authority</w:t>
      </w:r>
    </w:p>
    <w:p>
      <w:pPr>
        <w:spacing w:after="100"/>
      </w:pPr>
      <w:r>
        <w:t xml:space="preserve">Each requires a named owner and decision before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2123A" w:val="clear"/>
            <w:tcMar>
              <w:top w:type="dxa" w:w="40"/>
              <w:left w:type="dxa" w:w="90"/>
              <w:bottom w:type="dxa" w:w="40"/>
              <w:right w:type="dxa" w:w="90"/>
            </w:tcMar>
          </w:tcPr>
          <w:p>
            <w:r>
              <w:rPr>
                <w:b/>
                <w:bCs/>
                <w:color w:val="FFFFFF"/>
              </w:rPr>
              <w:t xml:space="preserve">#</w:t>
            </w:r>
          </w:p>
        </w:tc>
        <w:tc>
          <w:tcPr>
            <w:tcW w:type="dxa" w:w="7126"/>
            <w:shd w:fill="12123A" w:val="clear"/>
            <w:tcMar>
              <w:top w:type="dxa" w:w="40"/>
              <w:left w:type="dxa" w:w="90"/>
              <w:bottom w:type="dxa" w:w="40"/>
              <w:right w:type="dxa" w:w="90"/>
            </w:tcMar>
          </w:tcPr>
          <w:p>
            <w:r>
              <w:rPr>
                <w:b/>
                <w:bCs/>
                <w:color w:val="FFFFFF"/>
              </w:rPr>
              <w:t xml:space="preserve">Question</w:t>
            </w:r>
          </w:p>
        </w:tc>
        <w:tc>
          <w:tcPr>
            <w:tcW w:type="dxa" w:w="1200"/>
            <w:shd w:fill="12123A" w:val="clear"/>
            <w:tcMar>
              <w:top w:type="dxa" w:w="40"/>
              <w:left w:type="dxa" w:w="90"/>
              <w:bottom w:type="dxa" w:w="40"/>
              <w:right w:type="dxa" w:w="90"/>
            </w:tcMar>
          </w:tcPr>
          <w:p>
            <w:r>
              <w:rPr>
                <w:b/>
                <w:bCs/>
                <w:color w:val="FFFFFF"/>
              </w:rPr>
              <w:t xml:space="preserve">Owner</w:t>
            </w:r>
          </w:p>
        </w:tc>
      </w:tr>
      <w:tr>
        <w:trPr>
          <w:tblHeader w:val="false"/>
        </w:trPr>
        <w:tc>
          <w:tcPr>
            <w:tcW w:type="dxa" w:w="700"/>
            <w:tcMar>
              <w:top w:type="dxa" w:w="40"/>
              <w:left w:type="dxa" w:w="90"/>
              <w:bottom w:type="dxa" w:w="40"/>
              <w:right w:type="dxa" w:w="90"/>
            </w:tcMar>
          </w:tcPr>
          <w:p>
            <w:r>
              <w:rPr>
                <w:b w:val="false"/>
                <w:bCs w:val="false"/>
              </w:rPr>
              <w:t xml:space="preserve">1</w:t>
            </w:r>
          </w:p>
        </w:tc>
        <w:tc>
          <w:tcPr>
            <w:tcW w:type="dxa" w:w="7126"/>
            <w:tcMar>
              <w:top w:type="dxa" w:w="40"/>
              <w:left w:type="dxa" w:w="90"/>
              <w:bottom w:type="dxa" w:w="40"/>
              <w:right w:type="dxa" w:w="90"/>
            </w:tcMar>
          </w:tcPr>
          <w:p>
            <w:r>
              <w:rPr>
                <w:b w:val="false"/>
                <w:bCs w:val="false"/>
              </w:rPr>
              <w:t xml:space="preserve">Confirm the exact system names and acronym expansions for ESDES and SDS, and their current roles.</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2</w:t>
            </w:r>
          </w:p>
        </w:tc>
        <w:tc>
          <w:tcPr>
            <w:tcW w:type="dxa" w:w="7126"/>
            <w:tcMar>
              <w:top w:type="dxa" w:w="40"/>
              <w:left w:type="dxa" w:w="90"/>
              <w:bottom w:type="dxa" w:w="40"/>
              <w:right w:type="dxa" w:w="90"/>
            </w:tcMar>
          </w:tcPr>
          <w:p>
            <w:r>
              <w:rPr>
                <w:b w:val="false"/>
                <w:bCs w:val="false"/>
              </w:rPr>
              <w:t xml:space="preserve">Reconcile WebMethods scope: confirmed out of the file-transfer SDD; who owns the orchestration coexistence in the integration design?</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3</w:t>
            </w:r>
          </w:p>
        </w:tc>
        <w:tc>
          <w:tcPr>
            <w:tcW w:type="dxa" w:w="7126"/>
            <w:tcMar>
              <w:top w:type="dxa" w:w="40"/>
              <w:left w:type="dxa" w:w="90"/>
              <w:bottom w:type="dxa" w:w="40"/>
              <w:right w:type="dxa" w:w="90"/>
            </w:tcMar>
          </w:tcPr>
          <w:p>
            <w:r>
              <w:rPr>
                <w:b w:val="false"/>
                <w:bCs w:val="false"/>
              </w:rPr>
              <w:t xml:space="preserve">What is the confirmed GA feature set of native MFT at build time (vs roadmap), including the runtime AV scanning patch?</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4</w:t>
            </w:r>
          </w:p>
        </w:tc>
        <w:tc>
          <w:tcPr>
            <w:tcW w:type="dxa" w:w="7126"/>
            <w:tcMar>
              <w:top w:type="dxa" w:w="40"/>
              <w:left w:type="dxa" w:w="90"/>
              <w:bottom w:type="dxa" w:w="40"/>
              <w:right w:type="dxa" w:w="90"/>
            </w:tcMar>
          </w:tcPr>
          <w:p>
            <w:r>
              <w:rPr>
                <w:b w:val="false"/>
                <w:bCs w:val="false"/>
              </w:rPr>
              <w:t xml:space="preserve">What cloud-service region/assurance applies for OFFICIAL data residency?</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5</w:t>
            </w:r>
          </w:p>
        </w:tc>
        <w:tc>
          <w:tcPr>
            <w:tcW w:type="dxa" w:w="7126"/>
            <w:tcMar>
              <w:top w:type="dxa" w:w="40"/>
              <w:left w:type="dxa" w:w="90"/>
              <w:bottom w:type="dxa" w:w="40"/>
              <w:right w:type="dxa" w:w="90"/>
            </w:tcMar>
          </w:tcPr>
          <w:p>
            <w:r>
              <w:rPr>
                <w:b w:val="false"/>
                <w:bCs w:val="false"/>
              </w:rPr>
              <w:t xml:space="preserve">How is audit exported and retained to meet statutory retention?</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6</w:t>
            </w:r>
          </w:p>
        </w:tc>
        <w:tc>
          <w:tcPr>
            <w:tcW w:type="dxa" w:w="7126"/>
            <w:tcMar>
              <w:top w:type="dxa" w:w="40"/>
              <w:left w:type="dxa" w:w="90"/>
              <w:bottom w:type="dxa" w:w="40"/>
              <w:right w:type="dxa" w:w="90"/>
            </w:tcMar>
          </w:tcPr>
          <w:p>
            <w:r>
              <w:rPr>
                <w:b w:val="false"/>
                <w:bCs w:val="false"/>
              </w:rPr>
              <w:t xml:space="preserve">Which partner protocols beyond SFTP/FTPS/AS2 must be supported (OFTP2/AS4/PeSIT)?</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7</w:t>
            </w:r>
          </w:p>
        </w:tc>
        <w:tc>
          <w:tcPr>
            <w:tcW w:type="dxa" w:w="7126"/>
            <w:tcMar>
              <w:top w:type="dxa" w:w="40"/>
              <w:left w:type="dxa" w:w="90"/>
              <w:bottom w:type="dxa" w:w="40"/>
              <w:right w:type="dxa" w:w="90"/>
            </w:tcMar>
          </w:tcPr>
          <w:p>
            <w:r>
              <w:rPr>
                <w:b w:val="false"/>
                <w:bCs w:val="false"/>
              </w:rPr>
              <w:t xml:space="preserve">What is the supported MFT gateway HA topology?</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8</w:t>
            </w:r>
          </w:p>
        </w:tc>
        <w:tc>
          <w:tcPr>
            <w:tcW w:type="dxa" w:w="7126"/>
            <w:tcMar>
              <w:top w:type="dxa" w:w="40"/>
              <w:left w:type="dxa" w:w="90"/>
              <w:bottom w:type="dxa" w:w="40"/>
              <w:right w:type="dxa" w:w="90"/>
            </w:tcMar>
          </w:tcPr>
          <w:p>
            <w:r>
              <w:rPr>
                <w:b w:val="false"/>
                <w:bCs w:val="false"/>
              </w:rPr>
              <w:t xml:space="preserve">What is the HSM/KMS integration pattern for key custody?</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9</w:t>
            </w:r>
          </w:p>
        </w:tc>
        <w:tc>
          <w:tcPr>
            <w:tcW w:type="dxa" w:w="7126"/>
            <w:tcMar>
              <w:top w:type="dxa" w:w="40"/>
              <w:left w:type="dxa" w:w="90"/>
              <w:bottom w:type="dxa" w:w="40"/>
              <w:right w:type="dxa" w:w="90"/>
            </w:tcMar>
          </w:tcPr>
          <w:p>
            <w:r>
              <w:rPr>
                <w:b w:val="false"/>
                <w:bCs w:val="false"/>
              </w:rPr>
              <w:t xml:space="preserve">How will MFT configuration be promoted dev→test→prod without a native pipeline, and who owns it?</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10</w:t>
            </w:r>
          </w:p>
        </w:tc>
        <w:tc>
          <w:tcPr>
            <w:tcW w:type="dxa" w:w="7126"/>
            <w:tcMar>
              <w:top w:type="dxa" w:w="40"/>
              <w:left w:type="dxa" w:w="90"/>
              <w:bottom w:type="dxa" w:w="40"/>
              <w:right w:type="dxa" w:w="90"/>
            </w:tcMar>
          </w:tcPr>
          <w:p>
            <w:r>
              <w:rPr>
                <w:b w:val="false"/>
                <w:bCs w:val="false"/>
              </w:rPr>
              <w:t xml:space="preserve">Can MFT endpoint/partner credentials be sourced from the enterprise secrets manager (e.g. CyberArk), and is that acceptable to Security?</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11</w:t>
            </w:r>
          </w:p>
        </w:tc>
        <w:tc>
          <w:tcPr>
            <w:tcW w:type="dxa" w:w="7126"/>
            <w:tcMar>
              <w:top w:type="dxa" w:w="40"/>
              <w:left w:type="dxa" w:w="90"/>
              <w:bottom w:type="dxa" w:w="40"/>
              <w:right w:type="dxa" w:w="90"/>
            </w:tcMar>
          </w:tcPr>
          <w:p>
            <w:r>
              <w:rPr>
                <w:b w:val="false"/>
                <w:bCs w:val="false"/>
              </w:rPr>
              <w:t xml:space="preserve">Align the capability &amp; gap catalogue filename and cell content to the “catalogue” term (from “register”) — deferred consistency action.</w:t>
            </w:r>
          </w:p>
        </w:tc>
        <w:tc>
          <w:tcPr>
            <w:tcW w:type="dxa" w:w="1200"/>
            <w:tcMar>
              <w:top w:type="dxa" w:w="40"/>
              <w:left w:type="dxa" w:w="90"/>
              <w:bottom w:type="dxa" w:w="40"/>
              <w:right w:type="dxa" w:w="90"/>
            </w:tcMar>
          </w:tcPr>
          <w:p>
            <w:r>
              <w:rPr>
                <w:b w:val="false"/>
                <w:bCs w:val="false"/>
              </w:rPr>
              <w:t xml:space="preserve">TBC</w:t>
            </w:r>
          </w:p>
        </w:tc>
      </w:tr>
      <w:tr>
        <w:trPr>
          <w:tblHeader w:val="false"/>
        </w:trPr>
        <w:tc>
          <w:tcPr>
            <w:tcW w:type="dxa" w:w="700"/>
            <w:tcMar>
              <w:top w:type="dxa" w:w="40"/>
              <w:left w:type="dxa" w:w="90"/>
              <w:bottom w:type="dxa" w:w="40"/>
              <w:right w:type="dxa" w:w="90"/>
            </w:tcMar>
          </w:tcPr>
          <w:p>
            <w:r>
              <w:rPr>
                <w:b w:val="false"/>
                <w:bCs w:val="false"/>
              </w:rPr>
              <w:t xml:space="preserve">12</w:t>
            </w:r>
          </w:p>
        </w:tc>
        <w:tc>
          <w:tcPr>
            <w:tcW w:type="dxa" w:w="7126"/>
            <w:tcMar>
              <w:top w:type="dxa" w:w="40"/>
              <w:left w:type="dxa" w:w="90"/>
              <w:bottom w:type="dxa" w:w="40"/>
              <w:right w:type="dxa" w:w="90"/>
            </w:tcMar>
          </w:tcPr>
          <w:p>
            <w:r>
              <w:rPr>
                <w:b w:val="false"/>
                <w:bCs w:val="false"/>
              </w:rPr>
              <w:t xml:space="preserve">Is a vanity-URL section required? Raised in review; none is present in this SDD.</w:t>
            </w:r>
          </w:p>
        </w:tc>
        <w:tc>
          <w:tcPr>
            <w:tcW w:type="dxa" w:w="1200"/>
            <w:tcMar>
              <w:top w:type="dxa" w:w="40"/>
              <w:left w:type="dxa" w:w="90"/>
              <w:bottom w:type="dxa" w:w="40"/>
              <w:right w:type="dxa" w:w="90"/>
            </w:tcMar>
          </w:tcPr>
          <w:p>
            <w:r>
              <w:rPr>
                <w:b w:val="false"/>
                <w:bCs w:val="false"/>
              </w:rPr>
              <w:t xml:space="preserve">TBC</w:t>
            </w:r>
          </w:p>
        </w:tc>
      </w:tr>
    </w:tbl>
    <w:p>
      <w:pPr>
        <w:pStyle w:val="Heading1"/>
        <w:spacing w:after="120" w:before="260"/>
      </w:pPr>
      <w:r>
        <w:rPr>
          <w:b/>
          <w:bCs/>
          <w:color w:val="12123A"/>
        </w:rPr>
        <w:t xml:space="preserve">17  Glossary and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2123A" w:val="clear"/>
            <w:tcMar>
              <w:top w:type="dxa" w:w="40"/>
              <w:left w:type="dxa" w:w="90"/>
              <w:bottom w:type="dxa" w:w="40"/>
              <w:right w:type="dxa" w:w="90"/>
            </w:tcMar>
          </w:tcPr>
          <w:p>
            <w:r>
              <w:rPr>
                <w:b/>
                <w:bCs/>
                <w:color w:val="FFFFFF"/>
              </w:rPr>
              <w:t xml:space="preserve">Term</w:t>
            </w:r>
          </w:p>
        </w:tc>
        <w:tc>
          <w:tcPr>
            <w:tcW w:type="dxa" w:w="6426"/>
            <w:shd w:fill="12123A" w:val="clear"/>
            <w:tcMar>
              <w:top w:type="dxa" w:w="40"/>
              <w:left w:type="dxa" w:w="90"/>
              <w:bottom w:type="dxa" w:w="40"/>
              <w:right w:type="dxa" w:w="90"/>
            </w:tcMar>
          </w:tcPr>
          <w:p>
            <w:r>
              <w:rPr>
                <w:b/>
                <w:bCs/>
                <w:color w:val="FFFFFF"/>
              </w:rPr>
              <w:t xml:space="preserve">Meaning</w:t>
            </w:r>
          </w:p>
        </w:tc>
      </w:tr>
      <w:tr>
        <w:trPr>
          <w:tblHeader w:val="false"/>
        </w:trPr>
        <w:tc>
          <w:tcPr>
            <w:tcW w:type="dxa" w:w="2600"/>
            <w:tcMar>
              <w:top w:type="dxa" w:w="40"/>
              <w:left w:type="dxa" w:w="90"/>
              <w:bottom w:type="dxa" w:w="40"/>
              <w:right w:type="dxa" w:w="90"/>
            </w:tcMar>
          </w:tcPr>
          <w:p>
            <w:r>
              <w:rPr>
                <w:b w:val="false"/>
                <w:bCs w:val="false"/>
              </w:rPr>
              <w:t xml:space="preserve">MFT</w:t>
            </w:r>
          </w:p>
        </w:tc>
        <w:tc>
          <w:tcPr>
            <w:tcW w:type="dxa" w:w="6426"/>
            <w:tcMar>
              <w:top w:type="dxa" w:w="40"/>
              <w:left w:type="dxa" w:w="90"/>
              <w:bottom w:type="dxa" w:w="40"/>
              <w:right w:type="dxa" w:w="90"/>
            </w:tcMar>
          </w:tcPr>
          <w:p>
            <w:r>
              <w:rPr>
                <w:b w:val="false"/>
                <w:bCs w:val="false"/>
              </w:rPr>
              <w:t xml:space="preserve">Managed File Transfer — governed, secure, auditable file exchange.</w:t>
            </w:r>
          </w:p>
        </w:tc>
      </w:tr>
      <w:tr>
        <w:trPr>
          <w:tblHeader w:val="false"/>
        </w:trPr>
        <w:tc>
          <w:tcPr>
            <w:tcW w:type="dxa" w:w="2600"/>
            <w:tcMar>
              <w:top w:type="dxa" w:w="40"/>
              <w:left w:type="dxa" w:w="90"/>
              <w:bottom w:type="dxa" w:w="40"/>
              <w:right w:type="dxa" w:w="90"/>
            </w:tcMar>
          </w:tcPr>
          <w:p>
            <w:r>
              <w:rPr>
                <w:b w:val="false"/>
                <w:bCs w:val="false"/>
              </w:rPr>
              <w:t xml:space="preserve">AFT</w:t>
            </w:r>
          </w:p>
        </w:tc>
        <w:tc>
          <w:tcPr>
            <w:tcW w:type="dxa" w:w="6426"/>
            <w:tcMar>
              <w:top w:type="dxa" w:w="40"/>
              <w:left w:type="dxa" w:w="90"/>
              <w:bottom w:type="dxa" w:w="40"/>
              <w:right w:type="dxa" w:w="90"/>
            </w:tcMar>
          </w:tcPr>
          <w:p>
            <w:r>
              <w:rPr>
                <w:b w:val="false"/>
                <w:bCs w:val="false"/>
              </w:rPr>
              <w:t xml:space="preserve">Automated File Transfer — scheduled/event-driven, system-to-system mode.</w:t>
            </w:r>
          </w:p>
        </w:tc>
      </w:tr>
      <w:tr>
        <w:trPr>
          <w:tblHeader w:val="false"/>
        </w:trPr>
        <w:tc>
          <w:tcPr>
            <w:tcW w:type="dxa" w:w="2600"/>
            <w:tcMar>
              <w:top w:type="dxa" w:w="40"/>
              <w:left w:type="dxa" w:w="90"/>
              <w:bottom w:type="dxa" w:w="40"/>
              <w:right w:type="dxa" w:w="90"/>
            </w:tcMar>
          </w:tcPr>
          <w:p>
            <w:r>
              <w:rPr>
                <w:b w:val="false"/>
                <w:bCs w:val="false"/>
              </w:rPr>
              <w:t xml:space="preserve">ESDES</w:t>
            </w:r>
          </w:p>
        </w:tc>
        <w:tc>
          <w:tcPr>
            <w:tcW w:type="dxa" w:w="6426"/>
            <w:tcMar>
              <w:top w:type="dxa" w:w="40"/>
              <w:left w:type="dxa" w:w="90"/>
              <w:bottom w:type="dxa" w:w="40"/>
              <w:right w:type="dxa" w:w="90"/>
            </w:tcMar>
          </w:tcPr>
          <w:p>
            <w:r>
              <w:rPr>
                <w:b w:val="false"/>
                <w:bCs w:val="false"/>
              </w:rPr>
              <w:t xml:space="preserve">Incumbent core file-transfer solution with admin capabilities (acronym expansion to be confirmed).</w:t>
            </w:r>
          </w:p>
        </w:tc>
      </w:tr>
      <w:tr>
        <w:trPr>
          <w:tblHeader w:val="false"/>
        </w:trPr>
        <w:tc>
          <w:tcPr>
            <w:tcW w:type="dxa" w:w="2600"/>
            <w:tcMar>
              <w:top w:type="dxa" w:w="40"/>
              <w:left w:type="dxa" w:w="90"/>
              <w:bottom w:type="dxa" w:w="40"/>
              <w:right w:type="dxa" w:w="90"/>
            </w:tcMar>
          </w:tcPr>
          <w:p>
            <w:r>
              <w:rPr>
                <w:b w:val="false"/>
                <w:bCs w:val="false"/>
              </w:rPr>
              <w:t xml:space="preserve">SDS</w:t>
            </w:r>
          </w:p>
        </w:tc>
        <w:tc>
          <w:tcPr>
            <w:tcW w:type="dxa" w:w="6426"/>
            <w:tcMar>
              <w:top w:type="dxa" w:w="40"/>
              <w:left w:type="dxa" w:w="90"/>
              <w:bottom w:type="dxa" w:w="40"/>
              <w:right w:type="dxa" w:w="90"/>
            </w:tcMar>
          </w:tcPr>
          <w:p>
            <w:r>
              <w:rPr>
                <w:b w:val="false"/>
                <w:bCs w:val="false"/>
              </w:rPr>
              <w:t xml:space="preserve">Incumbent custom-coded engine for large-volume file transfer (acronym expansion to be confirmed).</w:t>
            </w:r>
          </w:p>
        </w:tc>
      </w:tr>
      <w:tr>
        <w:trPr>
          <w:tblHeader w:val="false"/>
        </w:trPr>
        <w:tc>
          <w:tcPr>
            <w:tcW w:type="dxa" w:w="2600"/>
            <w:tcMar>
              <w:top w:type="dxa" w:w="40"/>
              <w:left w:type="dxa" w:w="90"/>
              <w:bottom w:type="dxa" w:w="40"/>
              <w:right w:type="dxa" w:w="90"/>
            </w:tcMar>
          </w:tcPr>
          <w:p>
            <w:r>
              <w:rPr>
                <w:b w:val="false"/>
                <w:bCs w:val="false"/>
              </w:rPr>
              <w:t xml:space="preserve">Thru</w:t>
            </w:r>
          </w:p>
        </w:tc>
        <w:tc>
          <w:tcPr>
            <w:tcW w:type="dxa" w:w="6426"/>
            <w:tcMar>
              <w:top w:type="dxa" w:w="40"/>
              <w:left w:type="dxa" w:w="90"/>
              <w:bottom w:type="dxa" w:w="40"/>
              <w:right w:type="dxa" w:w="90"/>
            </w:tcMar>
          </w:tcPr>
          <w:p>
            <w:r>
              <w:rPr>
                <w:b w:val="false"/>
                <w:bCs w:val="false"/>
              </w:rPr>
              <w:t xml:space="preserve">MFT product acquired by Boomi (May 2025), now native to the platform.</w:t>
            </w:r>
          </w:p>
        </w:tc>
      </w:tr>
      <w:tr>
        <w:trPr>
          <w:tblHeader w:val="false"/>
        </w:trPr>
        <w:tc>
          <w:tcPr>
            <w:tcW w:type="dxa" w:w="2600"/>
            <w:tcMar>
              <w:top w:type="dxa" w:w="40"/>
              <w:left w:type="dxa" w:w="90"/>
              <w:bottom w:type="dxa" w:w="40"/>
              <w:right w:type="dxa" w:w="90"/>
            </w:tcMar>
          </w:tcPr>
          <w:p>
            <w:r>
              <w:rPr>
                <w:b w:val="false"/>
                <w:bCs w:val="false"/>
              </w:rPr>
              <w:t xml:space="preserve">Runtime agent</w:t>
            </w:r>
          </w:p>
        </w:tc>
        <w:tc>
          <w:tcPr>
            <w:tcW w:type="dxa" w:w="6426"/>
            <w:tcMar>
              <w:top w:type="dxa" w:w="40"/>
              <w:left w:type="dxa" w:w="90"/>
              <w:bottom w:type="dxa" w:w="40"/>
              <w:right w:type="dxa" w:w="90"/>
            </w:tcMar>
          </w:tcPr>
          <w:p>
            <w:r>
              <w:rPr>
                <w:b w:val="false"/>
                <w:bCs w:val="false"/>
              </w:rPr>
              <w:t xml:space="preserve">Customer-managed Boomi runtime acting as broker for file movement (north-south and east-west).</w:t>
            </w:r>
          </w:p>
        </w:tc>
      </w:tr>
      <w:tr>
        <w:trPr>
          <w:tblHeader w:val="false"/>
        </w:trPr>
        <w:tc>
          <w:tcPr>
            <w:tcW w:type="dxa" w:w="2600"/>
            <w:tcMar>
              <w:top w:type="dxa" w:w="40"/>
              <w:left w:type="dxa" w:w="90"/>
              <w:bottom w:type="dxa" w:w="40"/>
              <w:right w:type="dxa" w:w="90"/>
            </w:tcMar>
          </w:tcPr>
          <w:p>
            <w:r>
              <w:rPr>
                <w:b w:val="false"/>
                <w:bCs w:val="false"/>
              </w:rPr>
              <w:t xml:space="preserve">Boomi cloud service</w:t>
            </w:r>
          </w:p>
        </w:tc>
        <w:tc>
          <w:tcPr>
            <w:tcW w:type="dxa" w:w="6426"/>
            <w:tcMar>
              <w:top w:type="dxa" w:w="40"/>
              <w:left w:type="dxa" w:w="90"/>
              <w:bottom w:type="dxa" w:w="40"/>
              <w:right w:type="dxa" w:w="90"/>
            </w:tcMar>
          </w:tcPr>
          <w:p>
            <w:r>
              <w:rPr>
                <w:b w:val="false"/>
                <w:bCs w:val="false"/>
              </w:rPr>
              <w:t xml:space="preserve">Boomi-hosted management, tracking and scheduling layer (SaaS).</w:t>
            </w:r>
          </w:p>
        </w:tc>
      </w:tr>
      <w:tr>
        <w:trPr>
          <w:tblHeader w:val="false"/>
        </w:trPr>
        <w:tc>
          <w:tcPr>
            <w:tcW w:type="dxa" w:w="2600"/>
            <w:tcMar>
              <w:top w:type="dxa" w:w="40"/>
              <w:left w:type="dxa" w:w="90"/>
              <w:bottom w:type="dxa" w:w="40"/>
              <w:right w:type="dxa" w:w="90"/>
            </w:tcMar>
          </w:tcPr>
          <w:p>
            <w:r>
              <w:rPr>
                <w:b w:val="false"/>
                <w:bCs w:val="false"/>
              </w:rPr>
              <w:t xml:space="preserve">Atom / Molecule</w:t>
            </w:r>
          </w:p>
        </w:tc>
        <w:tc>
          <w:tcPr>
            <w:tcW w:type="dxa" w:w="6426"/>
            <w:tcMar>
              <w:top w:type="dxa" w:w="40"/>
              <w:left w:type="dxa" w:w="90"/>
              <w:bottom w:type="dxa" w:w="40"/>
              <w:right w:type="dxa" w:w="90"/>
            </w:tcMar>
          </w:tcPr>
          <w:p>
            <w:r>
              <w:rPr>
                <w:b w:val="false"/>
                <w:bCs w:val="false"/>
              </w:rPr>
              <w:t xml:space="preserve">Boomi runtime; Molecule is the clustered (HA) form.</w:t>
            </w:r>
          </w:p>
        </w:tc>
      </w:tr>
      <w:tr>
        <w:trPr>
          <w:tblHeader w:val="false"/>
        </w:trPr>
        <w:tc>
          <w:tcPr>
            <w:tcW w:type="dxa" w:w="2600"/>
            <w:tcMar>
              <w:top w:type="dxa" w:w="40"/>
              <w:left w:type="dxa" w:w="90"/>
              <w:bottom w:type="dxa" w:w="40"/>
              <w:right w:type="dxa" w:w="90"/>
            </w:tcMar>
          </w:tcPr>
          <w:p>
            <w:r>
              <w:rPr>
                <w:b w:val="false"/>
                <w:bCs w:val="false"/>
              </w:rPr>
              <w:t xml:space="preserve">Catalogue</w:t>
            </w:r>
          </w:p>
        </w:tc>
        <w:tc>
          <w:tcPr>
            <w:tcW w:type="dxa" w:w="6426"/>
            <w:tcMar>
              <w:top w:type="dxa" w:w="40"/>
              <w:left w:type="dxa" w:w="90"/>
              <w:bottom w:type="dxa" w:w="40"/>
              <w:right w:type="dxa" w:w="90"/>
            </w:tcMar>
          </w:tcPr>
          <w:p>
            <w:r>
              <w:rPr>
                <w:b w:val="false"/>
                <w:bCs w:val="false"/>
              </w:rPr>
              <w:t xml:space="preserve">A governed list — e.g. the config/routing catalogue and the capability &amp; gap catalogue (replaces earlier “register”).</w:t>
            </w:r>
          </w:p>
        </w:tc>
      </w:tr>
      <w:tr>
        <w:trPr>
          <w:tblHeader w:val="false"/>
        </w:trPr>
        <w:tc>
          <w:tcPr>
            <w:tcW w:type="dxa" w:w="2600"/>
            <w:tcMar>
              <w:top w:type="dxa" w:w="40"/>
              <w:left w:type="dxa" w:w="90"/>
              <w:bottom w:type="dxa" w:w="40"/>
              <w:right w:type="dxa" w:w="90"/>
            </w:tcMar>
          </w:tcPr>
          <w:p>
            <w:r>
              <w:rPr>
                <w:b w:val="false"/>
                <w:bCs w:val="false"/>
              </w:rPr>
              <w:t xml:space="preserve">Config over construction</w:t>
            </w:r>
          </w:p>
        </w:tc>
        <w:tc>
          <w:tcPr>
            <w:tcW w:type="dxa" w:w="6426"/>
            <w:tcMar>
              <w:top w:type="dxa" w:w="40"/>
              <w:left w:type="dxa" w:w="90"/>
              <w:bottom w:type="dxa" w:w="40"/>
              <w:right w:type="dxa" w:w="90"/>
            </w:tcMar>
          </w:tcPr>
          <w:p>
            <w:r>
              <w:rPr>
                <w:b w:val="false"/>
                <w:bCs w:val="false"/>
              </w:rPr>
              <w:t xml:space="preserve">Programme principle: interfaces are low-code configuration rows, not new builds.</w:t>
            </w:r>
          </w:p>
        </w:tc>
      </w:tr>
      <w:tr>
        <w:trPr>
          <w:tblHeader w:val="false"/>
        </w:trPr>
        <w:tc>
          <w:tcPr>
            <w:tcW w:type="dxa" w:w="2600"/>
            <w:tcMar>
              <w:top w:type="dxa" w:w="40"/>
              <w:left w:type="dxa" w:w="90"/>
              <w:bottom w:type="dxa" w:w="40"/>
              <w:right w:type="dxa" w:w="90"/>
            </w:tcMar>
          </w:tcPr>
          <w:p>
            <w:r>
              <w:rPr>
                <w:b w:val="false"/>
                <w:bCs w:val="false"/>
              </w:rPr>
              <w:t xml:space="preserve">OTel</w:t>
            </w:r>
          </w:p>
        </w:tc>
        <w:tc>
          <w:tcPr>
            <w:tcW w:type="dxa" w:w="6426"/>
            <w:tcMar>
              <w:top w:type="dxa" w:w="40"/>
              <w:left w:type="dxa" w:w="90"/>
              <w:bottom w:type="dxa" w:w="40"/>
              <w:right w:type="dxa" w:w="90"/>
            </w:tcMar>
          </w:tcPr>
          <w:p>
            <w:r>
              <w:rPr>
                <w:b w:val="false"/>
                <w:bCs w:val="false"/>
              </w:rPr>
              <w:t xml:space="preserve">OpenTelemetry — open standard for metrics, logs and traces.</w:t>
            </w:r>
          </w:p>
        </w:tc>
      </w:tr>
      <w:tr>
        <w:trPr>
          <w:tblHeader w:val="false"/>
        </w:trPr>
        <w:tc>
          <w:tcPr>
            <w:tcW w:type="dxa" w:w="2600"/>
            <w:tcMar>
              <w:top w:type="dxa" w:w="40"/>
              <w:left w:type="dxa" w:w="90"/>
              <w:bottom w:type="dxa" w:w="40"/>
              <w:right w:type="dxa" w:w="90"/>
            </w:tcMar>
          </w:tcPr>
          <w:p>
            <w:r>
              <w:rPr>
                <w:b w:val="false"/>
                <w:bCs w:val="false"/>
              </w:rPr>
              <w:t xml:space="preserve">PGP ASCII-armor</w:t>
            </w:r>
          </w:p>
        </w:tc>
        <w:tc>
          <w:tcPr>
            <w:tcW w:type="dxa" w:w="6426"/>
            <w:tcMar>
              <w:top w:type="dxa" w:w="40"/>
              <w:left w:type="dxa" w:w="90"/>
              <w:bottom w:type="dxa" w:w="40"/>
              <w:right w:type="dxa" w:w="90"/>
            </w:tcMar>
          </w:tcPr>
          <w:p>
            <w:r>
              <w:rPr>
                <w:b w:val="false"/>
                <w:bCs w:val="false"/>
              </w:rPr>
              <w:t xml:space="preserve">Text (.asc) encoding of PGP-encrypted content.</w:t>
            </w:r>
          </w:p>
        </w:tc>
      </w:tr>
    </w:tbl>
    <w:p>
      <w:pPr>
        <w:spacing w:before="120"/>
      </w:pPr>
      <w:r>
        <w:rPr>
          <w:b/>
          <w:bCs/>
        </w:rPr>
        <w:t xml:space="preserve">Primary sources (accessed Jul 2026): </w:t>
      </w:r>
      <w:r>
        <w:t xml:space="preserve">Boomi Managed File Transfer product &amp; “What is MFT” pages; Boomi platform release notes; Boomi product roadmap; Boomi MFT documentation (SFTP Server); Thru MFT Connector for Boomi; Boomi acquisition of Thru announcement (May 2025). Incumbent estate (ESDES/SDS) roles per Design Authority review, 30 July 2026 — names/expansions to be confirmed.</w:t>
      </w:r>
    </w:p>
    <w:p>
      <w:pPr>
        <w:spacing w:before="200"/>
        <w:jc w:val="center"/>
      </w:pPr>
      <w:r>
        <w:rPr>
          <w:i/>
          <w:iCs/>
          <w:color w:val="5b6b7d"/>
        </w:rPr>
        <w:t xml:space="preserve">OFFICIAL — Revised for peer review then Design Authority — v0.2 — 31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2123A"/>
      <w:sz w:val="28"/>
      <w:szCs w:val="28"/>
    </w:rPr>
  </w:style>
  <w:style w:type="paragraph" w:styleId="Heading2">
    <w:name w:val="Heading 2"/>
    <w:basedOn w:val="Normal"/>
    <w:next w:val="Normal"/>
    <w:qFormat/>
    <w:pPr>
      <w:spacing w:after="80" w:before="160"/>
    </w:pPr>
    <w:rPr>
      <w:b/>
      <w:bCs/>
      <w:color w:val="2e6c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ee69284b1968d83b6e77861117315395af601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2026-07-31T10:30:22.905Z</dcterms:created>
  <dcterms:modified xsi:type="dcterms:W3CDTF">2026-07-31T10:30:22.907Z</dcterms:modified>
</cp:coreProperties>
</file>

<file path=docProps/custom.xml><?xml version="1.0" encoding="utf-8"?>
<Properties xmlns="http://schemas.openxmlformats.org/officeDocument/2006/custom-properties" xmlns:vt="http://schemas.openxmlformats.org/officeDocument/2006/docPropsVTypes"/>
</file>