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505A5F"/>
          <w:sz w:val="16"/>
          <w:szCs w:val="16"/>
        </w:rPr>
        <w:t xml:space="preserve">OFFICIAL</w:t>
      </w:r>
    </w:p>
    <w:p>
      <w:pPr>
        <w:spacing w:after="20" w:before="120"/>
      </w:pPr>
      <w:r>
        <w:rPr>
          <w:b/>
          <w:bCs/>
          <w:sz w:val="40"/>
          <w:szCs w:val="40"/>
        </w:rPr>
        <w:t xml:space="preserve">Boomi MFT MVP, Two-week delivery plan</w:t>
      </w:r>
    </w:p>
    <w:p>
      <w:pPr>
        <w:spacing w:after="60"/>
      </w:pPr>
      <w:r>
        <w:rPr>
          <w:b/>
          <w:bCs/>
          <w:color w:val="1D70B8"/>
          <w:sz w:val="22"/>
          <w:szCs w:val="22"/>
        </w:rPr>
        <w:t xml:space="preserve">Candidate: ADR.040 Migrant Workers Scan, internal and external in one feed</w:t>
      </w:r>
    </w:p>
    <w:p>
      <w:pPr>
        <w:spacing w:after="200"/>
      </w:pPr>
      <w:r>
        <w:rPr>
          <w:b/>
          <w:bCs/>
          <w:color w:val="0B0C0C"/>
          <w:sz w:val="18"/>
          <w:szCs w:val="18"/>
        </w:rPr>
        <w:t xml:space="preserve">Build window: Monday 28 September to Friday 9 October 2026</w:t>
      </w:r>
    </w:p>
    <w:p>
      <w:pPr>
        <w:spacing w:after="200"/>
      </w:pPr>
      <w:r>
        <w:rPr>
          <w:color w:val="505A5F"/>
          <w:sz w:val="16"/>
          <w:szCs w:val="16"/>
        </w:rPr>
        <w:t xml:space="preserve">v0.3   |   Draft for approval   |   8 September 2026   |   Integration Architecture   |   Integration Catalogue Programme</w:t>
      </w:r>
    </w:p>
    <w:p>
      <w:pPr>
        <w:pStyle w:val="Heading1"/>
        <w:keepNext/>
        <w:spacing w:after="60" w:before="120"/>
      </w:pPr>
      <w:r>
        <w:t xml:space="preserve">0. Executive summary</w:t>
      </w:r>
    </w:p>
    <w:p>
      <w:pPr>
        <w:spacing w:after="100"/>
      </w:pPr>
      <w:r>
        <w:rPr>
          <w:sz w:val="19"/>
          <w:szCs w:val="19"/>
        </w:rPr>
        <w:t xml:space="preserve">One feed, two boundaries, ten working days. We move feed ADR.040, the quarterly Migrant Workers Scan, off its legacy transfer mechanisms and onto Boomi MFT. Leg A replaces UTM inside the estate. Leg B goes direct to ONS and removes a server the current path itself labels insecure. Configuration is two days; the other eight are discovery, proving and handover.</w:t>
      </w:r>
    </w:p>
    <w:p>
      <w:pPr>
        <w:spacing w:after="100"/>
      </w:pPr>
      <w:r>
        <w:rPr>
          <w:sz w:val="19"/>
          <w:szCs w:val="19"/>
        </w:rPr>
        <w:t xml:space="preserve">The reason to do this now is not the feed. The wider onboarding plan assumes that adding an interface to Boomi MFT is configuration work rather than development work, and nothing has tested that assumption. ADR.040 tests it twice, once inside the estate and once across a departmental boundary, on one dataset and one owner community, for two days of build effort. If it holds we can price the rest of the estate with confidence. If it does not, we find out now rather than after committing a programme to it.</w:t>
      </w:r>
    </w:p>
    <w:p>
      <w:pPr>
        <w:spacing w:after="100"/>
      </w:pPr>
      <w:r>
        <w:rPr>
          <w:sz w:val="19"/>
          <w:szCs w:val="19"/>
        </w:rPr>
        <w:t xml:space="preserve">The risk is not technical. Firewall changes and the agreement from ONS to receive from a new sending endpoint have lead times that do not compress, and neither has been started. Raise both this week and the window holds. If ONS is not ready in time, leg A still delivers inside the window and leg B follows within days of the external path opening.</w:t>
      </w:r>
    </w:p>
    <w:p>
      <w:pPr>
        <w:pStyle w:val="Heading2"/>
        <w:spacing w:after="60" w:before="140"/>
      </w:pPr>
      <w:r>
        <w:t xml:space="preserve">At a glance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680"/>
        <w:gridCol w:w="7626"/>
      </w:tblGrid>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Candidate</w:t>
            </w:r>
          </w:p>
        </w:tc>
        <w:tc>
          <w:tcPr>
            <w:tcW w:type="dxa" w:w="76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ADR.040 Migrant Workers Scan. Quarterly, one file per cycle, live in production today</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Scope</w:t>
            </w:r>
          </w:p>
        </w:tc>
        <w:tc>
          <w:tcPr>
            <w:tcW w:type="dxa" w:w="76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legs. NPS to the ADR landing area, internal. ADR output area to ONS, external</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Window</w:t>
            </w:r>
          </w:p>
        </w:tc>
        <w:tc>
          <w:tcPr>
            <w:tcW w:type="dxa" w:w="76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Monday 28 September to Friday 9 October 2026, ten working days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effort</w:t>
            </w:r>
          </w:p>
        </w:tc>
        <w:tc>
          <w:tcPr>
            <w:tcW w:type="dxa" w:w="76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days. Everything else is discovery, testing and handover</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New components</w:t>
            </w:r>
          </w:p>
        </w:tc>
        <w:tc>
          <w:tcPr>
            <w:tcW w:type="dxa" w:w="76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None. Two configuration rows on the existing generic engine</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Side benefit</w:t>
            </w:r>
          </w:p>
        </w:tc>
        <w:tc>
          <w:tcPr>
            <w:tcW w:type="dxa" w:w="76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Removes the Insecure IF server hop from the outbound path, regardless of the platform decision</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Known dependency</w:t>
            </w:r>
          </w:p>
        </w:tc>
        <w:tc>
          <w:tcPr>
            <w:tcW w:type="dxa" w:w="76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ADR to Data Lake migration. Build now, re-point later. Option 1 in section 5</w:t>
            </w:r>
          </w:p>
        </w:tc>
      </w:tr>
    </w:tbl>
    <w:p>
      <w:pPr>
        <w:spacing w:after="40"/>
      </w:pPr>
    </w:p>
    <w:p>
      <w:pPr>
        <w:pStyle w:val="Heading2"/>
        <w:spacing w:after="60" w:before="140"/>
      </w:pPr>
      <w:r>
        <w:t xml:space="preserve">What we will be able to say on 9 October</w:t>
      </w:r>
    </w:p>
    <w:p>
      <w:pPr>
        <w:pStyle w:val="ListParagraph"/>
        <w:numPr>
          <w:ilvl w:val="0"/>
          <w:numId w:val="2"/>
        </w:numPr>
        <w:spacing w:after="50"/>
      </w:pPr>
      <w:r>
        <w:rPr>
          <w:sz w:val="19"/>
          <w:szCs w:val="19"/>
        </w:rPr>
        <w:t xml:space="preserve">Whether a file transfer can be onboarded to Boomi MFT without writing code, evidenced twice rather than argued once.</w:t>
      </w:r>
    </w:p>
    <w:p>
      <w:pPr>
        <w:pStyle w:val="ListParagraph"/>
        <w:numPr>
          <w:ilvl w:val="0"/>
          <w:numId w:val="2"/>
        </w:numPr>
        <w:spacing w:after="50"/>
      </w:pPr>
      <w:r>
        <w:rPr>
          <w:sz w:val="19"/>
          <w:szCs w:val="19"/>
        </w:rPr>
        <w:t xml:space="preserve">What onboarding actually costs, in hours, separated from time spent waiting on other teams. That split is the number the wider plan needs and does not have.</w:t>
      </w:r>
    </w:p>
    <w:p>
      <w:pPr>
        <w:pStyle w:val="ListParagraph"/>
        <w:numPr>
          <w:ilvl w:val="0"/>
          <w:numId w:val="2"/>
        </w:numPr>
        <w:spacing w:after="50"/>
      </w:pPr>
      <w:r>
        <w:rPr>
          <w:sz w:val="19"/>
          <w:szCs w:val="19"/>
        </w:rPr>
        <w:t xml:space="preserve">Whether the platform's controls hold for an OFFICIAL feed crossing a departmental boundary: alerting, audit, quarantine, scanning and rollback.</w:t>
      </w:r>
    </w:p>
    <w:p>
      <w:pPr>
        <w:pStyle w:val="ListParagraph"/>
        <w:numPr>
          <w:ilvl w:val="0"/>
          <w:numId w:val="2"/>
        </w:numPr>
        <w:spacing w:after="50"/>
      </w:pPr>
      <w:r>
        <w:rPr>
          <w:sz w:val="19"/>
          <w:szCs w:val="19"/>
        </w:rPr>
        <w:t xml:space="preserve">Whether Service Operations will accept flows of this kind into support.</w:t>
      </w:r>
    </w:p>
    <w:p>
      <w:pPr>
        <w:pStyle w:val="ListParagraph"/>
        <w:numPr>
          <w:ilvl w:val="0"/>
          <w:numId w:val="2"/>
        </w:numPr>
        <w:spacing w:after="50"/>
      </w:pPr>
      <w:r>
        <w:rPr>
          <w:sz w:val="19"/>
          <w:szCs w:val="19"/>
        </w:rPr>
        <w:t xml:space="preserve">Whether re-pointing an interface at a migrated endpoint is a one-row change, which is what the Data Lake migration will ask of every interface it touches.</w:t>
      </w:r>
    </w:p>
    <w:p>
      <w:pPr>
        <w:pStyle w:val="Heading2"/>
        <w:spacing w:after="60" w:before="140"/>
      </w:pPr>
      <w:r>
        <w:t xml:space="preserve">The decision we are asking for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77"/>
        <w:gridCol w:w="2680"/>
        <w:gridCol w:w="1649"/>
      </w:tblGrid>
      <w:tr>
        <w:trPr>
          <w:tblHeader/>
        </w:trPr>
        <w:tc>
          <w:tcPr>
            <w:tcW w:type="dxa" w:w="597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Decision</w:t>
            </w:r>
          </w:p>
        </w:tc>
        <w:tc>
          <w:tcPr>
            <w:tcW w:type="dxa" w:w="268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Owner</w:t>
            </w:r>
          </w:p>
        </w:tc>
        <w:tc>
          <w:tcPr>
            <w:tcW w:type="dxa" w:w="164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By</w:t>
            </w:r>
          </w:p>
        </w:tc>
      </w:tr>
      <w:tr>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Name owners for the three critical dependencies: endpoint details, firewall and allow-list changes, and the ONS agreement</w:t>
            </w:r>
          </w:p>
        </w:tc>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Delivery lead</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Tue 15 Sep 2026</w:t>
            </w:r>
          </w:p>
        </w:tc>
      </w:tr>
      <w:tr>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Agree option 1 on the Data Lake migration: build now against the current ADR endpoints, re-point as a configuration change when the warehouse migrates</w:t>
            </w:r>
          </w:p>
        </w:tc>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Design Authority with the 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Fri 25 Sep 2026</w:t>
            </w:r>
          </w:p>
        </w:tc>
      </w:tr>
      <w:tr>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Approve the two-week window opening 28 September</w:t>
            </w:r>
          </w:p>
        </w:tc>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Design Authority</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Fri 25 Sep 2026</w:t>
            </w:r>
          </w:p>
        </w:tc>
      </w:tr>
    </w:tbl>
    <w:p>
      <w:pPr>
        <w:spacing w:after="40"/>
      </w:pPr>
    </w:p>
    <w:p>
      <w:pPr>
        <w:pBdr>
          <w:left w:val="single" w:color="1D70B8" w:sz="14"/>
        </w:pBdr>
        <w:shd w:fill="F0F6FB" w:color="auto" w:val="clear"/>
        <w:spacing w:after="140" w:before="100"/>
        <w:ind w:left="150"/>
      </w:pPr>
      <w:r>
        <w:rPr>
          <w:i/>
          <w:iCs/>
          <w:sz w:val="19"/>
          <w:szCs w:val="19"/>
        </w:rPr>
        <w:t xml:space="preserve">If only one thing happens this week, make it the firewall and ONS requests. They are the only part of this plan that cannot be recovered by working harder later.</w:t>
      </w:r>
    </w:p>
    <w:p>
      <w:pPr>
        <w:pStyle w:val="Heading1"/>
        <w:keepNext/>
        <w:spacing w:after="60" w:before="120"/>
      </w:pPr>
      <w:r>
        <w:t xml:space="preserve">1. Goal</w:t>
      </w:r>
    </w:p>
    <w:p>
      <w:pPr>
        <w:spacing w:after="100"/>
      </w:pPr>
      <w:r>
        <w:rPr>
          <w:sz w:val="19"/>
          <w:szCs w:val="19"/>
        </w:rPr>
        <w:t xml:space="preserve">Prove that Boomi MFT can carry a real scheduled file transfer across both trust boundaries, as configuration rather than as a new build, inside a two-week window.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67"/>
        <w:gridCol w:w="8039"/>
      </w:tblGrid>
      <w:tr>
        <w:trPr>
          <w:tblHeader/>
        </w:trPr>
        <w:tc>
          <w:tcPr>
            <w:tcW w:type="dxa" w:w="226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
            </w:r>
          </w:p>
        </w:tc>
        <w:tc>
          <w:tcPr>
            <w:tcW w:type="dxa" w:w="803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we prove</w:t>
            </w:r>
          </w:p>
        </w:tc>
      </w:tr>
      <w:tr>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A</w:t>
            </w:r>
          </w:p>
        </w:tc>
        <w:tc>
          <w:tcPr>
            <w:tcW w:type="dxa" w:w="803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Internal to internal. Supplier file into the ADR landing area, replacing UTM.</w:t>
            </w:r>
          </w:p>
        </w:tc>
      </w:tr>
      <w:tr>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B</w:t>
            </w:r>
          </w:p>
        </w:tc>
        <w:tc>
          <w:tcPr>
            <w:tcW w:type="dxa" w:w="803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Internal to external. ADR output area direct to ONS, removing the Insecure IF server hop.</w:t>
            </w:r>
          </w:p>
        </w:tc>
      </w:tr>
      <w:tr>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point</w:t>
            </w:r>
          </w:p>
        </w:tc>
        <w:tc>
          <w:tcPr>
            <w:tcW w:type="dxa" w:w="803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One generic engine, two configuration rows, zero bespoke components. If that holds, onboarding the rest of the estate is configuration work, not development work.</w:t>
            </w:r>
          </w:p>
        </w:tc>
      </w:tr>
    </w:tbl>
    <w:p>
      <w:pPr>
        <w:spacing w:after="40"/>
      </w:pPr>
    </w:p>
    <w:p>
      <w:pPr>
        <w:spacing w:after="20" w:before="60"/>
        <w:jc w:val="center"/>
      </w:pPr>
      <w:r>
        <w:drawing>
          <wp:inline distT="0" distB="0" distL="0" distR="0">
            <wp:extent cx="4953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1790700"/>
                    </a:xfrm>
                    <a:prstGeom prst="rect">
                      <a:avLst/>
                    </a:prstGeom>
                  </pic:spPr>
                </pic:pic>
              </a:graphicData>
            </a:graphic>
          </wp:inline>
        </w:drawing>
      </w:r>
    </w:p>
    <w:p>
      <w:pPr>
        <w:spacing w:after="90"/>
        <w:jc w:val="center"/>
      </w:pPr>
      <w:r>
        <w:rPr>
          <w:i/>
          <w:iCs/>
          <w:color w:val="505A5F"/>
          <w:sz w:val="15"/>
          <w:szCs w:val="15"/>
        </w:rPr>
        <w:t xml:space="preserve">The two legs. Leg A replaces UTM into the ADR landing area. Leg B goes direct to ONS and removes the insecure hop. The internal Maestro chain is unchanged.</w:t>
      </w:r>
    </w:p>
    <w:p>
      <w:pPr>
        <w:pStyle w:val="Heading1"/>
        <w:keepNext/>
        <w:spacing w:after="60" w:before="120"/>
      </w:pPr>
      <w:r>
        <w:t xml:space="preserve">2. The plan</w:t>
      </w:r>
    </w:p>
    <w:p>
      <w:pPr>
        <w:spacing w:after="100"/>
      </w:pPr>
      <w:r>
        <w:rPr>
          <w:sz w:val="19"/>
          <w:szCs w:val="19"/>
        </w:rPr>
        <w:t xml:space="preserve">Ten working days. Configuration is the only development, and it is two days. Everything either side of it is discovery, proving and handover.</w:t>
      </w:r>
    </w:p>
    <w:p>
      <w:pPr>
        <w:spacing w:after="20" w:before="60"/>
        <w:jc w:val="center"/>
      </w:pPr>
      <w:r>
        <w:drawing>
          <wp:inline distT="0" distB="0" distL="0" distR="0">
            <wp:extent cx="5334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181225"/>
                    </a:xfrm>
                    <a:prstGeom prst="rect">
                      <a:avLst/>
                    </a:prstGeom>
                  </pic:spPr>
                </pic:pic>
              </a:graphicData>
            </a:graphic>
          </wp:inline>
        </w:drawing>
      </w:r>
    </w:p>
    <w:p>
      <w:pPr>
        <w:spacing w:after="90"/>
        <w:jc w:val="center"/>
      </w:pPr>
      <w:r>
        <w:rPr>
          <w:i/>
          <w:iCs/>
          <w:color w:val="505A5F"/>
          <w:sz w:val="15"/>
          <w:szCs w:val="15"/>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752"/>
        <w:gridCol w:w="1340"/>
        <w:gridCol w:w="4122"/>
        <w:gridCol w:w="3092"/>
      </w:tblGrid>
      <w:tr>
        <w:trPr>
          <w:tblHeader/>
        </w:trPr>
        <w:tc>
          <w:tcPr>
            <w:tcW w:type="dxa" w:w="175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Phase</w:t>
            </w:r>
          </w:p>
        </w:tc>
        <w:tc>
          <w:tcPr>
            <w:tcW w:type="dxa" w:w="134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Days</w:t>
            </w:r>
          </w:p>
        </w:tc>
        <w:tc>
          <w:tcPr>
            <w:tcW w:type="dxa" w:w="412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happens</w:t>
            </w:r>
          </w:p>
        </w:tc>
        <w:tc>
          <w:tcPr>
            <w:tcW w:type="dxa" w:w="309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Done when</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1. Discovery</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 to 2, 28 to 29 Sep</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Capture the endpoint details in section 3 for both legs. Nothing else. No process mapping, no workshops.</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Every cell in the endpoint table is filled</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2. Connectivity</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 to 4, 28 Sep to 1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Runs in parallel from day one. Firewall and allow-list changes, credentials, host keys, and a reachability test in both directions.</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 test file moves end to end on both paths, manually</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3. Configuration</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5 to 6, 2 and 5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MFT-INT-001 and MFT-EXT-001 as configuration rows on the generic engine. Schedule, file mask, archive, quarantine, alerts.</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rows built, engine gap log empty</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4. Testing</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7 to 8, 6 and 7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Happy path, file absent, late arrival, duplicate, oversized, scan failure, destination unavailable, credential rejection. Reconcile against the incumbent.</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All cases evidenced, output byte identical</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5. Readiness</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9 to 10, 8 and 9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Runbook, alerts and escalation. Walk Service Operations through one live failure and recovery. Prove and time the rollback.</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Operations sign the handover, go or no-go issued</w:t>
            </w:r>
          </w:p>
        </w:tc>
      </w:tr>
    </w:tbl>
    <w:p>
      <w:pPr>
        <w:spacing w:after="40"/>
      </w:pPr>
    </w:p>
    <w:p>
      <w:pPr>
        <w:pBdr>
          <w:left w:val="single" w:color="1D70B8" w:sz="14"/>
        </w:pBdr>
        <w:shd w:fill="F0F6FB" w:color="auto" w:val="clear"/>
        <w:spacing w:after="140" w:before="100"/>
        <w:ind w:left="150"/>
      </w:pPr>
      <w:r>
        <w:rPr>
          <w:i/>
          <w:iCs/>
          <w:sz w:val="19"/>
          <w:szCs w:val="19"/>
        </w:rPr>
        <w:t xml:space="preserve">The 1 October quarterly cycle falls inside the window. Observe it on the incumbent path on day 4 and use the real file characteristics for testing. That is a free piece of realism, so do not miss it.</w:t>
      </w:r>
    </w:p>
    <w:p>
      <w:pPr>
        <w:pStyle w:val="Heading1"/>
        <w:keepNext/>
        <w:spacing w:after="60" w:before="120"/>
      </w:pPr>
      <w:r>
        <w:t xml:space="preserve">3. Endpoint details required</w:t>
      </w:r>
    </w:p>
    <w:p>
      <w:pPr>
        <w:spacing w:after="100"/>
      </w:pPr>
      <w:r>
        <w:rPr>
          <w:sz w:val="19"/>
          <w:szCs w:val="19"/>
        </w:rPr>
        <w:t xml:space="preserve">This is the whole of discovery. Incomplete answers here are the only thing that reliably derails a file transfer build, so treat this table as the gate into day 3. Send it out now, ahead of the window.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2061"/>
        <w:gridCol w:w="2061"/>
        <w:gridCol w:w="2061"/>
        <w:gridCol w:w="2062"/>
      </w:tblGrid>
      <w:tr>
        <w:trPr>
          <w:tblHeader/>
        </w:trPr>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we need</w:t>
            </w:r>
          </w:p>
        </w:tc>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A, source, NPS</w:t>
            </w:r>
          </w:p>
        </w:tc>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A, target, ADR landing</w:t>
            </w:r>
          </w:p>
        </w:tc>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B, source, ADR output</w:t>
            </w:r>
          </w:p>
        </w:tc>
        <w:tc>
          <w:tcPr>
            <w:tcW w:type="dxa" w:w="206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B, target, ONS</w:t>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Host and port</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Protocol, SFTP, FTPS, S3 or share</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Directory path</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File name or mask</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Credential type and who issues it</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Host key or certificate</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change needed, which direction</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Source IP the far side must allow</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Archive path</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Quarantine path</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Acknowledgement expected</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Named contact</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bl>
    <w:p>
      <w:pPr>
        <w:spacing w:after="40"/>
      </w:pPr>
    </w:p>
    <w:p>
      <w:pPr>
        <w:spacing w:after="100"/>
      </w:pPr>
      <w:r>
        <w:rPr>
          <w:sz w:val="19"/>
          <w:szCs w:val="19"/>
        </w:rPr>
        <w:t xml:space="preserve">Known already: the feed is quarterly on the first day of January, April, July and October, one file per cycle, and the file is the Migrant Worker Scan extract. Everything else in the table is open.</w:t>
      </w:r>
    </w:p>
    <w:p>
      <w:pPr>
        <w:pStyle w:val="Heading1"/>
        <w:keepNext/>
        <w:spacing w:after="60" w:before="120"/>
      </w:pPr>
      <w:r>
        <w:t xml:space="preserve">4. Dependencies</w:t>
      </w:r>
    </w:p>
    <w:p>
      <w:pPr>
        <w:spacing w:after="100"/>
      </w:pPr>
      <w:r>
        <w:rPr>
          <w:sz w:val="19"/>
          <w:szCs w:val="19"/>
        </w:rPr>
        <w:t xml:space="preserve">Two of these decide the start date. The rest are ordinary.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680"/>
        <w:gridCol w:w="1855"/>
        <w:gridCol w:w="1649"/>
        <w:gridCol w:w="4122"/>
      </w:tblGrid>
      <w:tr>
        <w:trPr>
          <w:tblHeader/>
        </w:trPr>
        <w:tc>
          <w:tcPr>
            <w:tcW w:type="dxa" w:w="268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Dependency</w:t>
            </w:r>
          </w:p>
        </w:tc>
        <w:tc>
          <w:tcPr>
            <w:tcW w:type="dxa" w:w="1855"/>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Owner</w:t>
            </w:r>
          </w:p>
        </w:tc>
        <w:tc>
          <w:tcPr>
            <w:tcW w:type="dxa" w:w="164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Needed by</w:t>
            </w:r>
          </w:p>
        </w:tc>
        <w:tc>
          <w:tcPr>
            <w:tcW w:type="dxa" w:w="412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Why it matters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Endpoint details, all four columns in section 3</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Feed and system owners</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Before day 1</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Discovery is two days only because this arrives complete. If it does not, day 1 becomes chasing, and the window slips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and allow-list changes, both legs</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Network security</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Raise now</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one item that cannot be compressed by working harder. Standard lead time is longer than the build itself, so it must be raised before the window opens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ONS agreement to receive from a new sending endpoint</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Cross-department liaison</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Raise now</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B cannot be proven without it. If it is not in place, leg A still delivers inside the window and leg B follows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ADR to Data Lake migration, agree option 1</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Before day 5</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See section 5. Option 1 lets the build start on time and treats the re-point as a configuration change</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Credentials and host keys</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Security architecture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3</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Needed for the connectivity test, not for the build</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Runtime placement approval</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Platform engineering</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3</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Where the MFT runtime sits for each leg</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Representative or synthetic test file</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Feed owner, ADR</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6</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Testing needs a file with production structure, not production data</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Service Operations availability, half a day</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Service Operations</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9</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handover walkthrough is what turns a demo into an accepted service</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Incumbent path stays live throughout</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Incumbent service owner</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MVP runs alongside, it does not cut over</w:t>
            </w:r>
          </w:p>
        </w:tc>
      </w:tr>
    </w:tbl>
    <w:p>
      <w:pPr>
        <w:spacing w:after="40"/>
      </w:pPr>
    </w:p>
    <w:p>
      <w:pPr>
        <w:pStyle w:val="Heading1"/>
        <w:keepNext/>
        <w:spacing w:after="60" w:before="120"/>
      </w:pPr>
      <w:r>
        <w:t xml:space="preserve">5. The ADR to Data Lake migration</w:t>
      </w:r>
    </w:p>
    <w:p>
      <w:pPr>
        <w:spacing w:after="100"/>
      </w:pPr>
      <w:r>
        <w:rPr>
          <w:sz w:val="19"/>
          <w:szCs w:val="19"/>
        </w:rPr>
        <w:t xml:space="preserve">The ADR legacy warehouse is being migrated to the Data Lake, and both of this MVP's touchpoints sit inside that scope: the NPS file landing area on leg A and the MWS file output area on leg B. There are two ways to handle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855"/>
        <w:gridCol w:w="4225"/>
        <w:gridCol w:w="4226"/>
      </w:tblGrid>
      <w:tr>
        <w:trPr>
          <w:tblHeader/>
        </w:trPr>
        <w:tc>
          <w:tcPr>
            <w:tcW w:type="dxa" w:w="1855"/>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
            </w:r>
          </w:p>
        </w:tc>
        <w:tc>
          <w:tcPr>
            <w:tcW w:type="dxa" w:w="4225"/>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Option 1, recommended</w:t>
            </w:r>
          </w:p>
        </w:tc>
        <w:tc>
          <w:tcPr>
            <w:tcW w:type="dxa" w:w="4226"/>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Option 2</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we do</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Migrate the integration now. Move the transfer off legacy IAF onto Boomi, pointing at the existing ADR database and file areas. Re-point to the Data Lake as a configuration change when the warehouse migrates.</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Wait for the warehouse migration to complete, then build once directly against the Data Lake endpoints.</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Start date</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28 September. Nothing is gated on the Data Lake programme.</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Whenever the warehouse migration lands. Not ours to set.</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effort</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days now, plus a one-row endpoint change later.</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days, once.</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it proves</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the transfer and the claim that re-pointing an interface is a configuration change rather than a rebuild.</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transfer only.</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it costs</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One config change at migration time, and a short period where the flow points at an endpoint with a known end date.</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legacy IAF transfer keeps running on the old platform for the whole duration of the warehouse migration, and the MVP evidence arrives too late to inform the wider onboarding plan.</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Main risk</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Data Lake endpoint differs enough that the re-point is not a one-row change. If so, that is a finding worth having early rather than late.</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migration slips and the MVP slips with it.</w:t>
            </w:r>
          </w:p>
        </w:tc>
      </w:tr>
    </w:tbl>
    <w:p>
      <w:pPr>
        <w:spacing w:after="40"/>
      </w:pPr>
    </w:p>
    <w:p>
      <w:pPr>
        <w:pStyle w:val="Heading2"/>
        <w:spacing w:after="60" w:before="140"/>
      </w:pPr>
      <w:r>
        <w:t xml:space="preserve">Recommendation: option 1</w:t>
      </w:r>
    </w:p>
    <w:p>
      <w:pPr>
        <w:pStyle w:val="ListParagraph"/>
        <w:numPr>
          <w:ilvl w:val="0"/>
          <w:numId w:val="3"/>
        </w:numPr>
        <w:spacing w:after="50"/>
      </w:pPr>
      <w:r>
        <w:rPr>
          <w:sz w:val="19"/>
          <w:szCs w:val="19"/>
        </w:rPr>
        <w:t xml:space="preserve">It decouples the two workstreams. Neither programme waits on the other, and the two-week window survives.</w:t>
      </w:r>
    </w:p>
    <w:p>
      <w:pPr>
        <w:pStyle w:val="ListParagraph"/>
        <w:numPr>
          <w:ilvl w:val="0"/>
          <w:numId w:val="3"/>
        </w:numPr>
        <w:spacing w:after="50"/>
      </w:pPr>
      <w:r>
        <w:rPr>
          <w:sz w:val="19"/>
          <w:szCs w:val="19"/>
        </w:rPr>
        <w:t xml:space="preserve">The re-point is the same work as any endpoint change, so doing it twice costs close to nothing if the platform behaves as designed. Proving that is the point of the MVP, not a side effect of it.</w:t>
      </w:r>
    </w:p>
    <w:p>
      <w:pPr>
        <w:pStyle w:val="ListParagraph"/>
        <w:numPr>
          <w:ilvl w:val="0"/>
          <w:numId w:val="3"/>
        </w:numPr>
        <w:spacing w:after="50"/>
      </w:pPr>
      <w:r>
        <w:rPr>
          <w:sz w:val="19"/>
          <w:szCs w:val="19"/>
        </w:rPr>
        <w:t xml:space="preserve">Option 2 hands the MVP start date to a programme that does not control it. That is the substantive difference between the two.</w:t>
      </w:r>
    </w:p>
    <w:p>
      <w:pPr>
        <w:pStyle w:val="ListParagraph"/>
        <w:numPr>
          <w:ilvl w:val="0"/>
          <w:numId w:val="3"/>
        </w:numPr>
        <w:spacing w:after="50"/>
      </w:pPr>
      <w:r>
        <w:rPr>
          <w:sz w:val="19"/>
          <w:szCs w:val="19"/>
        </w:rPr>
        <w:t xml:space="preserve">Option 2 only wins if the Data Lake landing zone already exists and is reachable before day 5. If that turns out to be true, build straight to it. That is still option 1, just with a different endpoint value in the configuration row.</w:t>
      </w:r>
    </w:p>
    <w:p>
      <w:pPr>
        <w:pStyle w:val="Heading2"/>
        <w:spacing w:after="60" w:before="140"/>
      </w:pPr>
      <w:r>
        <w:t xml:space="preserve">Conditions on option 1</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90"/>
        <w:gridCol w:w="2267"/>
        <w:gridCol w:w="1649"/>
      </w:tblGrid>
      <w:tr>
        <w:trPr>
          <w:tblHeader/>
        </w:trPr>
        <w:tc>
          <w:tcPr>
            <w:tcW w:type="dxa" w:w="639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Condition</w:t>
            </w:r>
          </w:p>
        </w:tc>
        <w:tc>
          <w:tcPr>
            <w:tcW w:type="dxa" w:w="226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Owner</w:t>
            </w:r>
          </w:p>
        </w:tc>
        <w:tc>
          <w:tcPr>
            <w:tcW w:type="dxa" w:w="164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Needed by</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Confirm the NPS landing area and MWS output area are in migration scope, and the indicative move date</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5</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Record the Data Lake target endpoints in the configuration row as a known future change, so the re-point is planned rather than discovered</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Integration architecture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6</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Confirm whether the Maestro chain survives the migration or is replaced by Data Lake ingestion. If replaced, leg A's handover point moves</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5</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Measure and record the re-point when it happens, as evidence for or against the one-row claim</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Integration architecture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At migration</w:t>
            </w:r>
          </w:p>
        </w:tc>
      </w:tr>
    </w:tbl>
    <w:p>
      <w:pPr>
        <w:spacing w:after="40"/>
      </w:pPr>
    </w:p>
    <w:p>
      <w:pPr>
        <w:pBdr>
          <w:left w:val="single" w:color="1D70B8" w:sz="14"/>
        </w:pBdr>
        <w:shd w:fill="F0F6FB" w:color="auto" w:val="clear"/>
        <w:spacing w:after="140" w:before="100"/>
        <w:ind w:left="150"/>
      </w:pPr>
      <w:r>
        <w:rPr>
          <w:i/>
          <w:iCs/>
          <w:sz w:val="19"/>
          <w:szCs w:val="19"/>
        </w:rPr>
        <w:t xml:space="preserve">The dependency is an argument for the MVP rather than against it. If re-pointing a migrated endpoint really is one row, the Data Lake migration makes the platform more useful, not less. If it is not one row, we need to know that now, while it costs two days rather than an estate.</w:t>
      </w:r>
    </w:p>
    <w:p>
      <w:pPr>
        <w:pStyle w:val="Heading1"/>
        <w:keepNext/>
        <w:spacing w:after="60" w:before="120"/>
      </w:pPr>
      <w:r>
        <w:t xml:space="preserve">6. Success criteria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237"/>
        <w:gridCol w:w="9069"/>
      </w:tblGrid>
      <w:tr>
        <w:trPr>
          <w:tblHeader/>
        </w:trPr>
        <w:tc>
          <w:tcPr>
            <w:tcW w:type="dxa" w:w="123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Ref</w:t>
            </w:r>
          </w:p>
        </w:tc>
        <w:tc>
          <w:tcPr>
            <w:tcW w:type="dxa" w:w="906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Met when</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SC-1</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A delivers into the ADR landing area, byte identical, three consecutive runs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SC-2</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B delivers to ONS, acknowledged, three consecutive runs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SC-3</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legs are configuration rows on one engine, zero bespoke components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SC-4</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existing Maestro chain runs unchanged after Boomi delivers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SC-5</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Insecure IF server hop is absent from the leg B path</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SC-6</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Non-arrival, transfer failure and scan failure each raise an alert to a named queue, evidenced in test</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SC-7</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One audit record per transfer: source, destination, size, checksum, timestamps, outcome</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SC-8</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Service Operations signs the handover after a live failure and recovery walkthrough</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SC-9</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Rollback to the incumbent path executed and timed at least once</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SC-10</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effort recorded in hours, separated from time spent waiting on dependencies</w:t>
            </w:r>
          </w:p>
        </w:tc>
      </w:tr>
    </w:tbl>
    <w:p>
      <w:pPr>
        <w:spacing w:after="40"/>
      </w:pPr>
    </w:p>
    <w:p>
      <w:pPr>
        <w:pBdr>
          <w:left w:val="single" w:color="1D70B8" w:sz="14"/>
        </w:pBdr>
        <w:shd w:fill="F0F6FB" w:color="auto" w:val="clear"/>
        <w:spacing w:after="140" w:before="100"/>
        <w:ind w:left="150"/>
      </w:pPr>
      <w:r>
        <w:rPr>
          <w:i/>
          <w:iCs/>
          <w:sz w:val="19"/>
          <w:szCs w:val="19"/>
        </w:rPr>
        <w:t xml:space="preserve">SC-3 is the one that matters. Everything else can be fixed. If two similar transfers cannot both be delivered as configuration on one engine, the platform's economics do not hold and the answer is no-go.</w:t>
      </w:r>
    </w:p>
    <w:p>
      <w:pPr>
        <w:pStyle w:val="Heading1"/>
        <w:keepNext/>
        <w:spacing w:after="60" w:before="120"/>
      </w:pPr>
      <w:r>
        <w:t xml:space="preserve">7. What could move the date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329"/>
        <w:gridCol w:w="5977"/>
      </w:tblGrid>
      <w:tr>
        <w:trPr>
          <w:tblHeader/>
        </w:trPr>
        <w:tc>
          <w:tcPr>
            <w:tcW w:type="dxa" w:w="432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Risk</w:t>
            </w:r>
          </w:p>
        </w:tc>
        <w:tc>
          <w:tcPr>
            <w:tcW w:type="dxa" w:w="597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we do about it</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change is not complete by day 4</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Raise it now, before the window opens. If it lands late, connectivity slides and everything after it slides with it. This is the single most likely cause of a miss</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ONS endpoint is not agreed in time</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Split the result. Deliver leg A inside the window and report it. Leg B follows within days of the external path opening, because the build is already done</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Endpoint details arrive incomplete</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 and 2 become chasing. Send the section 3 table out now and treat a complete return as the trigger to open the window</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migration answers are unclear at day 5</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Proceed on option 1. Build to the current endpoints and record the re-point as a planned one-row change. Do not pause the build waiting for the migration plan</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No production-like test environment</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Test on the real path with a synthetic file. Say so plainly in the evidence rather than claiming coverage we do not have</w:t>
            </w:r>
          </w:p>
        </w:tc>
      </w:tr>
    </w:tbl>
    <w:p>
      <w:pPr>
        <w:spacing w:after="40"/>
      </w:pPr>
    </w:p>
    <w:p>
      <w:pPr>
        <w:spacing w:after="100"/>
      </w:pPr>
      <w:r>
        <w:rPr>
          <w:sz w:val="19"/>
          <w:szCs w:val="19"/>
        </w:rPr>
        <w:t xml:space="preserve">Configuration is two days. The date is set by connectivity, not by build effort. Start the firewall and ONS requests now and the window holds.</w:t>
      </w:r>
    </w:p>
    <w:sectPr>
      <w:footerReference w:type="default" r:id="rId7"/>
      <w:pgSz w:w="11906" w:h="16838" w:orient="portrait"/>
      <w:pgMar w:top="800" w:right="800" w:bottom="7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05A5F"/>
        <w:sz w:val="14"/>
        <w:szCs w:val="14"/>
      </w:rPr>
      <w:t xml:space="preserve">OFFICIAL   |   v0.3   |   Page </w:t>
    </w:r>
    <w:r>
      <w:rPr>
        <w:color w:val="505A5F"/>
        <w:sz w:val="14"/>
        <w:szCs w:val="14"/>
      </w:rPr>
      <w:fldChar w:fldCharType="begin"/>
      <w:instrText xml:space="preserve">PAGE</w:instrText>
      <w:fldChar w:fldCharType="separate"/>
      <w:fldChar w:fldCharType="end"/>
    </w:r>
    <w:r>
      <w:rPr>
        <w:color w:val="505A5F"/>
        <w:sz w:val="14"/>
        <w:szCs w:val="14"/>
      </w:rPr>
      <w:t xml:space="preserve"> of </w:t>
    </w:r>
    <w:r>
      <w:rPr>
        <w:color w:val="505A5F"/>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00"/>
      </w:pPr>
    </w:lvl>
  </w:abstractNum>
  <w:abstractNum w:abstractNumId="3" w15:restartNumberingAfterBreak="0">
    <w:multiLevelType w:val="hybridMultilevel"/>
    <w:lvl w:ilvl="0" w15:tentative="1">
      <w:start w:val="1"/>
      <w:numFmt w:val="decimal"/>
      <w:lvlText w:val="%1."/>
      <w:lvlJc w:val="left"/>
      <w:pPr>
        <w:ind w:left="380" w:hanging="2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C0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B0C0C"/>
      <w:sz w:val="26"/>
      <w:szCs w:val="26"/>
    </w:rPr>
  </w:style>
  <w:style w:type="paragraph" w:styleId="Heading2">
    <w:name w:val="Heading 2"/>
    <w:basedOn w:val="Normal"/>
    <w:next w:val="Normal"/>
    <w:qFormat/>
    <w:rPr>
      <w:rFonts w:ascii="Calibri" w:cs="Calibri" w:eastAsia="Calibri" w:hAnsi="Calibri"/>
      <w:b/>
      <w:bCs/>
      <w:color w:val="1D70B8"/>
      <w:sz w:val="20"/>
      <w:szCs w:val="2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7d9b3d58c5edc82c89e170f6f1c0388e29a76a8.png"/><Relationship Id="rId9" Type="http://schemas.openxmlformats.org/officeDocument/2006/relationships/image" Target="media/4b34f8bded31be9a1a9c3889ca0562b1a5adc7c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Boomi MFT MVP Two-week delivery plan</dc:title>
  <dc:creator>Integration Catalogue Bot</dc:creator>
  <dc:description>Candidate: ADR.040 Migrant Workers Scan, internal and external in one feed</dc:description>
  <cp:lastModifiedBy>Un-named</cp:lastModifiedBy>
  <cp:revision>1</cp:revision>
  <dcterms:created xsi:type="dcterms:W3CDTF">2026-09-09T08:43:26.730Z</dcterms:created>
  <dcterms:modified xsi:type="dcterms:W3CDTF">2026-09-09T08:43:26.730Z</dcterms:modified>
</cp:coreProperties>
</file>

<file path=docProps/custom.xml><?xml version="1.0" encoding="utf-8"?>
<Properties xmlns="http://schemas.openxmlformats.org/officeDocument/2006/custom-properties" xmlns:vt="http://schemas.openxmlformats.org/officeDocument/2006/docPropsVTypes"/>
</file>