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293A" w14:textId="77777777" w:rsidR="000801B8" w:rsidRDefault="00000000">
      <w:pPr>
        <w:spacing w:after="40"/>
      </w:pPr>
      <w:r>
        <w:rPr>
          <w:b/>
          <w:bCs/>
          <w:color w:val="3E4A35"/>
          <w:sz w:val="44"/>
          <w:szCs w:val="44"/>
        </w:rPr>
        <w:t>OLLIMIA</w:t>
      </w:r>
    </w:p>
    <w:p w14:paraId="4D0F85B7" w14:textId="77777777" w:rsidR="000801B8" w:rsidRPr="00AE5F16" w:rsidRDefault="00000000">
      <w:pPr>
        <w:spacing w:after="300"/>
        <w:rPr>
          <w:sz w:val="22"/>
          <w:szCs w:val="22"/>
        </w:rPr>
      </w:pPr>
      <w:r w:rsidRPr="00AE5F16">
        <w:rPr>
          <w:b/>
          <w:bCs/>
          <w:color w:val="B8860B"/>
          <w:sz w:val="28"/>
          <w:szCs w:val="28"/>
        </w:rPr>
        <w:t>Resumo Executivo — Três Frentes de Trabalho Enquanto o Operador Logístico no Brasil Não É Fechado</w:t>
      </w:r>
    </w:p>
    <w:p w14:paraId="678989AE" w14:textId="77777777" w:rsidR="000801B8" w:rsidRPr="00AE5F16" w:rsidRDefault="00000000">
      <w:pPr>
        <w:spacing w:after="120"/>
        <w:rPr>
          <w:sz w:val="22"/>
          <w:szCs w:val="22"/>
        </w:rPr>
      </w:pPr>
      <w:r w:rsidRPr="00AE5F16">
        <w:rPr>
          <w:sz w:val="22"/>
          <w:szCs w:val="22"/>
        </w:rPr>
        <w:t>Este resumo organiza o trabalho dos próximos meses em três frentes independentes, cada uma ativada por um gatilho diferente. O objetivo é deixar claro que o tempo de preparação não é "trabalho ocioso": é execução em paralelo de tudo que não depende de uma decisão comercial ainda pendente — quem será o operador logístico/importador que vai comprar, estocar e faturar o produto no Brasil (ver relatório de distribuidores em anexo).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01B8" w14:paraId="126A3B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3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73CE00" w14:textId="77777777" w:rsidR="000801B8" w:rsidRPr="00AE5F16" w:rsidRDefault="00000000">
            <w:pPr>
              <w:spacing w:after="60"/>
              <w:rPr>
                <w:sz w:val="22"/>
                <w:szCs w:val="22"/>
              </w:rPr>
            </w:pPr>
            <w:r w:rsidRPr="00AE5F16">
              <w:rPr>
                <w:b/>
                <w:bCs/>
                <w:color w:val="3E4A35"/>
                <w:sz w:val="22"/>
                <w:szCs w:val="22"/>
              </w:rPr>
              <w:t>O gargalo real</w:t>
            </w:r>
          </w:p>
          <w:p w14:paraId="4FB29E28" w14:textId="77777777" w:rsidR="000801B8" w:rsidRDefault="00000000">
            <w:r w:rsidRPr="00AE5F16">
              <w:rPr>
                <w:color w:val="2A2A28"/>
                <w:sz w:val="22"/>
                <w:szCs w:val="22"/>
              </w:rPr>
              <w:t>Hoje não existe CNPJ nem estoque da Ollimia no Brasil. Enquanto um parceiro (importador por conta e ordem, IOR ou full commerce) não for fechado, não há como vender pelo TikTok Shop nem por e-commerce próprio. Esse fechamento depende de decisão e negociação dos sócios — não é uma tarefa de marketing. O papel do trabalho abaixo é garantir que, no dia em que esse parceiro for fechado, a operação comercial já esteja pronta para rodar em dias, não em meses.</w:t>
            </w:r>
          </w:p>
        </w:tc>
      </w:tr>
    </w:tbl>
    <w:p w14:paraId="1071B97D" w14:textId="77777777" w:rsidR="000801B8" w:rsidRDefault="00000000">
      <w:pPr>
        <w:pStyle w:val="Ttulo1"/>
        <w:spacing w:before="320" w:after="140"/>
      </w:pPr>
      <w:r>
        <w:rPr>
          <w:b/>
          <w:bCs/>
          <w:color w:val="3E4A35"/>
        </w:rPr>
        <w:t>Frente A — Enquanto o distribuidor não é encontrado (SEO e conteúdo)</w:t>
      </w:r>
    </w:p>
    <w:p w14:paraId="75E5B2F2" w14:textId="7EFA1CDC" w:rsidR="000801B8" w:rsidRPr="00AE5F16" w:rsidRDefault="00000000">
      <w:pPr>
        <w:spacing w:after="120"/>
        <w:rPr>
          <w:sz w:val="22"/>
          <w:szCs w:val="22"/>
        </w:rPr>
      </w:pPr>
      <w:r w:rsidRPr="00AE5F16">
        <w:rPr>
          <w:i/>
          <w:iCs/>
          <w:color w:val="5A5A57"/>
          <w:sz w:val="22"/>
          <w:szCs w:val="22"/>
        </w:rPr>
        <w:t xml:space="preserve">SEO e link </w:t>
      </w:r>
      <w:r w:rsidR="00AE5F16">
        <w:rPr>
          <w:i/>
          <w:iCs/>
          <w:color w:val="5A5A57"/>
          <w:sz w:val="22"/>
          <w:szCs w:val="22"/>
        </w:rPr>
        <w:t>Building(link de outros sites apontando para o site do Ollimia)</w:t>
      </w:r>
      <w:r w:rsidRPr="00AE5F16">
        <w:rPr>
          <w:i/>
          <w:iCs/>
          <w:color w:val="5A5A57"/>
          <w:sz w:val="22"/>
          <w:szCs w:val="22"/>
        </w:rPr>
        <w:t xml:space="preserve"> são investimentos de maturação lenta (normalmente 6 a 12 meses para gerar resultado consistente). É exatamente por isso que essa frente deve começar agora: é a única atividade cujo retorno cresce com o tempo parado, então soa contraditório deixar de investir aqui só porque a venda ainda não começou.</w:t>
      </w:r>
    </w:p>
    <w:p w14:paraId="080ED325" w14:textId="77777777" w:rsidR="000801B8" w:rsidRPr="00AE5F16" w:rsidRDefault="00000000">
      <w:pPr>
        <w:pStyle w:val="Ttulo2"/>
        <w:spacing w:before="320" w:after="140"/>
        <w:rPr>
          <w:sz w:val="28"/>
          <w:szCs w:val="28"/>
        </w:rPr>
      </w:pPr>
      <w:r w:rsidRPr="00AE5F16">
        <w:rPr>
          <w:b/>
          <w:bCs/>
          <w:color w:val="3E4A35"/>
          <w:sz w:val="28"/>
          <w:szCs w:val="28"/>
        </w:rPr>
        <w:t>A.1 — SEO institucional / consumidor final</w:t>
      </w:r>
    </w:p>
    <w:p w14:paraId="3BC6F534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Site simples com conteúdo sobre origem do azeite, qualidade Picual, diferenças entre as linhas (Colheita Selecionada, Tradição Diária, Alentejo).</w:t>
      </w:r>
    </w:p>
    <w:p w14:paraId="5AB99FA9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Conteúdo pensado também para mecanismos de busca por IA (respostas geradas por assistentes) — não só Google tradicional.</w:t>
      </w:r>
    </w:p>
    <w:p w14:paraId="1E2EF315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Captura de e-mail/waitlist em toda página: sem isso, o tráfego gerado nesse período é perdido, já que ainda não há loja funcionando para converter a visita em venda.</w:t>
      </w:r>
    </w:p>
    <w:p w14:paraId="0A303A8F" w14:textId="77777777" w:rsidR="000801B8" w:rsidRPr="00AE5F16" w:rsidRDefault="00000000">
      <w:pPr>
        <w:pStyle w:val="Ttulo2"/>
        <w:spacing w:before="320" w:after="140"/>
        <w:rPr>
          <w:sz w:val="28"/>
          <w:szCs w:val="28"/>
        </w:rPr>
      </w:pPr>
      <w:r w:rsidRPr="00AE5F16">
        <w:rPr>
          <w:b/>
          <w:bCs/>
          <w:color w:val="3E4A35"/>
          <w:sz w:val="28"/>
          <w:szCs w:val="28"/>
        </w:rPr>
        <w:t>A.2 — SEO para atrair o próprio distribuidor/revendedor (B2B)</w:t>
      </w:r>
    </w:p>
    <w:p w14:paraId="77432FD3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Página específica "parceria comercial" otimizada para os termos de busca que um revendedor já ativo no TikTok Shop (ex.: o "armazém" citado na reunião) ou uma importadora usaria para encontrar uma marca de azeite disponível para representação.</w:t>
      </w:r>
    </w:p>
    <w:p w14:paraId="678EB47A" w14:textId="13BE803D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Link building e presença institucional (Instagram, LinkedIn da marca) para dar lastro de credibilidade quando o distribuidor fizer due diligence</w:t>
      </w:r>
      <w:r w:rsidR="00AE5F16">
        <w:rPr>
          <w:sz w:val="22"/>
          <w:szCs w:val="22"/>
        </w:rPr>
        <w:t>(investigação, audotoria)</w:t>
      </w:r>
      <w:r w:rsidRPr="00AE5F16">
        <w:rPr>
          <w:sz w:val="22"/>
          <w:szCs w:val="22"/>
        </w:rPr>
        <w:t>.</w:t>
      </w:r>
    </w:p>
    <w:p w14:paraId="68AE8BDA" w14:textId="77777777" w:rsidR="000801B8" w:rsidRDefault="000801B8">
      <w:pPr>
        <w:pBdr>
          <w:bottom w:val="single" w:sz="6" w:space="1" w:color="CCCCCC"/>
        </w:pBdr>
        <w:spacing w:before="100" w:after="200"/>
      </w:pPr>
    </w:p>
    <w:p w14:paraId="0B381ABE" w14:textId="77777777" w:rsidR="000801B8" w:rsidRPr="00AE5F16" w:rsidRDefault="00000000">
      <w:pPr>
        <w:pStyle w:val="Ttulo1"/>
        <w:spacing w:before="320" w:after="140"/>
        <w:rPr>
          <w:sz w:val="36"/>
          <w:szCs w:val="36"/>
        </w:rPr>
      </w:pPr>
      <w:r w:rsidRPr="00AE5F16">
        <w:rPr>
          <w:b/>
          <w:bCs/>
          <w:color w:val="3E4A35"/>
          <w:sz w:val="36"/>
          <w:szCs w:val="36"/>
        </w:rPr>
        <w:t>Frente B — Quando o distribuidor no Brasil for fechado</w:t>
      </w:r>
    </w:p>
    <w:p w14:paraId="026697C2" w14:textId="77777777" w:rsidR="000801B8" w:rsidRPr="00AE5F16" w:rsidRDefault="00000000">
      <w:pPr>
        <w:spacing w:after="120"/>
        <w:rPr>
          <w:sz w:val="22"/>
          <w:szCs w:val="22"/>
        </w:rPr>
      </w:pPr>
      <w:r w:rsidRPr="00AE5F16">
        <w:rPr>
          <w:i/>
          <w:iCs/>
          <w:color w:val="5A5A57"/>
          <w:sz w:val="22"/>
          <w:szCs w:val="22"/>
        </w:rPr>
        <w:t>A partir daqui, SEO não é abandonado — apenas deixa de ser a prioridade #1, porque a urgência passa a ser ativar a operação comercial.</w:t>
      </w:r>
    </w:p>
    <w:p w14:paraId="34D8B1D0" w14:textId="77777777" w:rsidR="000801B8" w:rsidRPr="00AE5F16" w:rsidRDefault="00000000">
      <w:pPr>
        <w:pStyle w:val="Ttulo2"/>
        <w:spacing w:before="320" w:after="140"/>
        <w:rPr>
          <w:sz w:val="28"/>
          <w:szCs w:val="28"/>
        </w:rPr>
      </w:pPr>
      <w:r w:rsidRPr="00AE5F16">
        <w:rPr>
          <w:b/>
          <w:bCs/>
          <w:color w:val="3E4A35"/>
          <w:sz w:val="28"/>
          <w:szCs w:val="28"/>
        </w:rPr>
        <w:t>B.1 — TikTok Shop</w:t>
      </w:r>
    </w:p>
    <w:p w14:paraId="782A4537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lastRenderedPageBreak/>
        <w:t>Ativação do cadastro no Seller Center e cadastro de todos os SKUs (incluindo o novo Alentejo).</w:t>
      </w:r>
    </w:p>
    <w:p w14:paraId="08AE38DC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Prospecção ativa de afiliados/influenciadores, com banco de roteiros de vídeo por produto.</w:t>
      </w:r>
    </w:p>
    <w:p w14:paraId="1EC7F65D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Dicionário de compliance (o que não pode ser dito) para os afiliados — especialmente sobre claims de saúde/recuperação, que hoje são o maior risco de suspensão de conta ou vídeo.</w:t>
      </w:r>
    </w:p>
    <w:p w14:paraId="7843083A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Ativação de campanhas GMV Max com Spark Ads / Video Shopping Ads: hoje esse é o formato padrão do TikTok Shop, e permite transformar os vídeos orgânicos de afiliados que já performaram bem em anúncio pago, mantendo a identidade do post original (curtidas, comentários, criador).</w:t>
      </w:r>
    </w:p>
    <w:p w14:paraId="3E9F8CFC" w14:textId="77777777" w:rsidR="000801B8" w:rsidRPr="00AE5F16" w:rsidRDefault="00000000">
      <w:pPr>
        <w:pStyle w:val="Ttulo2"/>
        <w:spacing w:before="320" w:after="140"/>
        <w:rPr>
          <w:sz w:val="28"/>
          <w:szCs w:val="28"/>
        </w:rPr>
      </w:pPr>
      <w:r w:rsidRPr="00AE5F16">
        <w:rPr>
          <w:b/>
          <w:bCs/>
          <w:color w:val="3E4A35"/>
          <w:sz w:val="28"/>
          <w:szCs w:val="28"/>
        </w:rPr>
        <w:t>B.2 — E-commerce próprio (fora do TikTok)</w:t>
      </w:r>
    </w:p>
    <w:p w14:paraId="09F07964" w14:textId="03FE42F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Loja própria para vender também fora do TikTok Shop.</w:t>
      </w:r>
      <w:r w:rsidR="00AE5F16">
        <w:rPr>
          <w:sz w:val="22"/>
          <w:szCs w:val="22"/>
        </w:rPr>
        <w:t>(e-commerce tradicional)</w:t>
      </w:r>
    </w:p>
    <w:p w14:paraId="696D9CA2" w14:textId="07E6E2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Uma landing page por produto (nunca uma página genérica multi-produto) — cada página fala de um único SKU, para maximizar a taxa de conversão do tráfego pago</w:t>
      </w:r>
      <w:r w:rsidR="00AE5F16">
        <w:rPr>
          <w:sz w:val="22"/>
          <w:szCs w:val="22"/>
        </w:rPr>
        <w:t xml:space="preserve"> e orgânico.</w:t>
      </w:r>
    </w:p>
    <w:p w14:paraId="2D1EF29B" w14:textId="77777777" w:rsidR="000801B8" w:rsidRPr="00AE5F16" w:rsidRDefault="00000000">
      <w:pPr>
        <w:pStyle w:val="Ttulo2"/>
        <w:spacing w:before="320" w:after="140"/>
        <w:rPr>
          <w:sz w:val="28"/>
          <w:szCs w:val="28"/>
        </w:rPr>
      </w:pPr>
      <w:r w:rsidRPr="00AE5F16">
        <w:rPr>
          <w:b/>
          <w:bCs/>
          <w:color w:val="3E4A35"/>
          <w:sz w:val="28"/>
          <w:szCs w:val="28"/>
        </w:rPr>
        <w:t>B.3 — Assinatura de azeite (recorrência)</w:t>
      </w:r>
    </w:p>
    <w:p w14:paraId="174DF289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Planejamento do modelo de assinatura/refil só começa quando houver estoque e logística de reposição garantidos pelo parceiro — antes disso é apenas desenho conceitual.</w:t>
      </w:r>
    </w:p>
    <w:p w14:paraId="245E3D86" w14:textId="77777777" w:rsidR="000801B8" w:rsidRDefault="000801B8">
      <w:pPr>
        <w:pBdr>
          <w:bottom w:val="single" w:sz="6" w:space="1" w:color="CCCCCC"/>
        </w:pBdr>
        <w:spacing w:before="100" w:after="200"/>
      </w:pPr>
    </w:p>
    <w:p w14:paraId="4E6B09A8" w14:textId="77777777" w:rsidR="000801B8" w:rsidRPr="00AE5F16" w:rsidRDefault="00000000">
      <w:pPr>
        <w:pStyle w:val="Ttulo1"/>
        <w:spacing w:before="320" w:after="140"/>
        <w:rPr>
          <w:sz w:val="36"/>
          <w:szCs w:val="36"/>
        </w:rPr>
      </w:pPr>
      <w:r w:rsidRPr="00AE5F16">
        <w:rPr>
          <w:b/>
          <w:bCs/>
          <w:color w:val="3E4A35"/>
          <w:sz w:val="36"/>
          <w:szCs w:val="36"/>
        </w:rPr>
        <w:t>Frente C — Portugal (paralela, não depende do Brasil)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01B8" w14:paraId="451DA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F3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5E52E9" w14:textId="77777777" w:rsidR="000801B8" w:rsidRPr="00AE5F16" w:rsidRDefault="00000000">
            <w:pPr>
              <w:spacing w:after="60"/>
              <w:rPr>
                <w:sz w:val="22"/>
                <w:szCs w:val="22"/>
              </w:rPr>
            </w:pPr>
            <w:r w:rsidRPr="00AE5F16">
              <w:rPr>
                <w:b/>
                <w:bCs/>
                <w:color w:val="3E4A35"/>
                <w:sz w:val="22"/>
                <w:szCs w:val="22"/>
              </w:rPr>
              <w:t>Pergunta que destrava esta frente</w:t>
            </w:r>
          </w:p>
          <w:p w14:paraId="6C9FAF86" w14:textId="77777777" w:rsidR="000801B8" w:rsidRDefault="00000000">
            <w:r w:rsidRPr="00AE5F16">
              <w:rPr>
                <w:color w:val="2A2A28"/>
                <w:sz w:val="22"/>
                <w:szCs w:val="22"/>
              </w:rPr>
              <w:t>A Ollimia já tem envase e controle de qualidade em Portugal. Existe uma empresa constituída lá apta a abrir um Seller Center no TikTok Portugal? Se sim, essa frente pode começar imediatamente, em paralelo às outras duas, sem esperar o fechamento do distribuidor brasileiro.</w:t>
            </w:r>
          </w:p>
        </w:tc>
      </w:tr>
    </w:tbl>
    <w:p w14:paraId="1D1D6218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Se a resposta for sim: mapear e prospectar influenciadores em Portugal para venda direta por lá.</w:t>
      </w:r>
    </w:p>
    <w:p w14:paraId="0B48ED51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Definir o CNPJ/entidade portuguesa que será cadastrada no TikTok Shop Portugal.</w:t>
      </w:r>
    </w:p>
    <w:p w14:paraId="07C4F18E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Essa frente pode antecipar aprendizado (o que converte, quais roteiros funcionam) antes mesmo do Brasil estar pronto — reduzindo risco quando a operação brasileira for ativada.</w:t>
      </w:r>
    </w:p>
    <w:p w14:paraId="29737FBF" w14:textId="77777777" w:rsidR="000801B8" w:rsidRDefault="000801B8">
      <w:pPr>
        <w:pBdr>
          <w:bottom w:val="single" w:sz="6" w:space="1" w:color="CCCCCC"/>
        </w:pBdr>
        <w:spacing w:before="100" w:after="200"/>
      </w:pPr>
    </w:p>
    <w:p w14:paraId="4EF88DD7" w14:textId="77777777" w:rsidR="000801B8" w:rsidRPr="00AE5F16" w:rsidRDefault="00000000">
      <w:pPr>
        <w:pStyle w:val="Ttulo1"/>
        <w:spacing w:before="320" w:after="140"/>
        <w:rPr>
          <w:sz w:val="36"/>
          <w:szCs w:val="36"/>
        </w:rPr>
      </w:pPr>
      <w:r w:rsidRPr="00AE5F16">
        <w:rPr>
          <w:b/>
          <w:bCs/>
          <w:color w:val="3E4A35"/>
          <w:sz w:val="36"/>
          <w:szCs w:val="36"/>
        </w:rPr>
        <w:t>O que precisamos que vocês decidam agora</w:t>
      </w:r>
    </w:p>
    <w:p w14:paraId="30664793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Qual candidato do relatório de distribuidores (Diretto, Ricex, Dauphine, NovaTrade, Komport, First S.A., Focus Trading) vocês querem priorizar no primeiro contato comercial?</w:t>
      </w:r>
    </w:p>
    <w:p w14:paraId="5ED49D67" w14:textId="77777777" w:rsidR="000801B8" w:rsidRPr="00AE5F16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Existe empresa/entidade constituída em Portugal apta a operar TikTok Shop Portugal?</w:t>
      </w:r>
    </w:p>
    <w:p w14:paraId="1DA771CE" w14:textId="77777777" w:rsidR="000801B8" w:rsidRDefault="00000000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AE5F16">
        <w:rPr>
          <w:sz w:val="22"/>
          <w:szCs w:val="22"/>
        </w:rPr>
        <w:t>Aprovação para iniciar a Frente A (site + SEO) imediatamente, já que é a única atividade cujo custo de não começar agora é maior do que o custo de começar.</w:t>
      </w:r>
    </w:p>
    <w:p w14:paraId="4AFA733F" w14:textId="77777777" w:rsidR="00E7045E" w:rsidRDefault="00E7045E" w:rsidP="00E7045E">
      <w:pPr>
        <w:spacing w:after="60"/>
        <w:rPr>
          <w:sz w:val="22"/>
          <w:szCs w:val="22"/>
        </w:rPr>
      </w:pPr>
    </w:p>
    <w:p w14:paraId="49B68C4F" w14:textId="77777777" w:rsidR="00E7045E" w:rsidRDefault="00E7045E" w:rsidP="00E7045E">
      <w:pPr>
        <w:spacing w:after="60"/>
        <w:rPr>
          <w:sz w:val="22"/>
          <w:szCs w:val="22"/>
        </w:rPr>
      </w:pPr>
    </w:p>
    <w:p w14:paraId="6849337A" w14:textId="77777777" w:rsidR="00E7045E" w:rsidRDefault="00E7045E" w:rsidP="00E7045E">
      <w:pPr>
        <w:pBdr>
          <w:bottom w:val="single" w:sz="6" w:space="1" w:color="CCCCCC"/>
        </w:pBdr>
        <w:spacing w:before="100" w:after="200"/>
      </w:pPr>
    </w:p>
    <w:p w14:paraId="4242DA34" w14:textId="77777777" w:rsidR="00E7045E" w:rsidRDefault="00E7045E" w:rsidP="00E7045E">
      <w:pPr>
        <w:pStyle w:val="Ttulo1"/>
        <w:spacing w:before="320" w:after="140"/>
        <w:rPr>
          <w:b/>
          <w:bCs/>
          <w:color w:val="3E4A35"/>
          <w:sz w:val="36"/>
          <w:szCs w:val="36"/>
        </w:rPr>
      </w:pPr>
    </w:p>
    <w:p w14:paraId="5B48BB37" w14:textId="439B9228" w:rsidR="00E7045E" w:rsidRPr="00AE5F16" w:rsidRDefault="00E7045E" w:rsidP="00E7045E">
      <w:pPr>
        <w:pStyle w:val="Ttulo1"/>
        <w:spacing w:before="320" w:after="140"/>
        <w:rPr>
          <w:sz w:val="36"/>
          <w:szCs w:val="36"/>
        </w:rPr>
      </w:pPr>
      <w:r>
        <w:rPr>
          <w:b/>
          <w:bCs/>
          <w:color w:val="3E4A35"/>
          <w:sz w:val="36"/>
          <w:szCs w:val="36"/>
        </w:rPr>
        <w:lastRenderedPageBreak/>
        <w:t>Investimento e estrutura de custos</w:t>
      </w:r>
    </w:p>
    <w:p w14:paraId="5E04C151" w14:textId="19B9D648" w:rsidR="00E7045E" w:rsidRPr="00E7045E" w:rsidRDefault="00E7045E" w:rsidP="00E7045E">
      <w:pPr>
        <w:pStyle w:val="PargrafodaLista"/>
        <w:spacing w:after="60"/>
        <w:ind w:left="400"/>
        <w:rPr>
          <w:b/>
          <w:bCs/>
          <w:sz w:val="24"/>
          <w:szCs w:val="24"/>
        </w:rPr>
      </w:pPr>
      <w:r w:rsidRPr="00E7045E">
        <w:rPr>
          <w:b/>
          <w:bCs/>
          <w:sz w:val="24"/>
          <w:szCs w:val="24"/>
        </w:rPr>
        <w:t>O modelo de investimento tem duas naturezas distintas:</w:t>
      </w:r>
      <w:r>
        <w:rPr>
          <w:b/>
          <w:bCs/>
          <w:sz w:val="24"/>
          <w:szCs w:val="24"/>
        </w:rPr>
        <w:br/>
      </w:r>
    </w:p>
    <w:p w14:paraId="10431C67" w14:textId="6968E574" w:rsidR="00E7045E" w:rsidRPr="00AE5F16" w:rsidRDefault="00E7045E" w:rsidP="00E7045E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b/>
          <w:bCs/>
          <w:sz w:val="22"/>
          <w:szCs w:val="22"/>
        </w:rPr>
        <w:t>Custo fixo — R$ 1.500,00/mês</w:t>
      </w:r>
      <w:r>
        <w:rPr>
          <w:sz w:val="22"/>
          <w:szCs w:val="22"/>
        </w:rPr>
        <w:br/>
      </w:r>
      <w:r w:rsidRPr="00E7045E">
        <w:rPr>
          <w:sz w:val="22"/>
          <w:szCs w:val="22"/>
        </w:rPr>
        <w:t>Remunera a atuação como estrategista responsável pela condução das três frentes descritas neste documento, incluindo call de alinhamento semanal ou quinzenal com os sócios para acompanhamento de progresso, decisões pendentes e ajuste de prioridades entre as fases.</w:t>
      </w:r>
      <w:r>
        <w:rPr>
          <w:sz w:val="22"/>
          <w:szCs w:val="22"/>
        </w:rPr>
        <w:br/>
      </w:r>
    </w:p>
    <w:p w14:paraId="57D778DD" w14:textId="0ADF953B" w:rsidR="00E7045E" w:rsidRDefault="00E7045E" w:rsidP="00E7045E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b/>
          <w:bCs/>
          <w:sz w:val="22"/>
          <w:szCs w:val="22"/>
        </w:rPr>
        <w:t xml:space="preserve">Custo </w:t>
      </w:r>
      <w:r>
        <w:rPr>
          <w:b/>
          <w:bCs/>
          <w:sz w:val="22"/>
          <w:szCs w:val="22"/>
        </w:rPr>
        <w:t>variável</w:t>
      </w:r>
      <w:r w:rsidRPr="00E7045E">
        <w:rPr>
          <w:b/>
          <w:bCs/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>depende da fase em execução</w:t>
      </w:r>
      <w:r>
        <w:rPr>
          <w:b/>
          <w:bCs/>
          <w:sz w:val="22"/>
          <w:szCs w:val="22"/>
        </w:rPr>
        <w:br/>
      </w:r>
      <w:r w:rsidRPr="00E7045E">
        <w:rPr>
          <w:sz w:val="22"/>
          <w:szCs w:val="22"/>
        </w:rPr>
        <w:t>Diferente do fixo, esse custo não é previsível de antemão porque varia conforme as ações ativadas em cada momento (Frente A, B ou C). Entram aqui, por exemplo:</w:t>
      </w:r>
    </w:p>
    <w:p w14:paraId="73D329E2" w14:textId="77777777" w:rsidR="00E7045E" w:rsidRPr="00E7045E" w:rsidRDefault="00E7045E" w:rsidP="00E7045E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sz w:val="22"/>
          <w:szCs w:val="22"/>
        </w:rPr>
        <w:t>Assinatura de ferramenta de geração de vídeo por IA (necessária para produção de criativos e roteiros em escala, especialmente nas fases de afiliados e anúncios).</w:t>
      </w:r>
    </w:p>
    <w:p w14:paraId="06FAB79E" w14:textId="77777777" w:rsidR="00E7045E" w:rsidRPr="00E7045E" w:rsidRDefault="00E7045E" w:rsidP="00E7045E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sz w:val="22"/>
          <w:szCs w:val="22"/>
        </w:rPr>
        <w:t>Hospedagem/VPS para o site institucional e páginas de SEO.</w:t>
      </w:r>
    </w:p>
    <w:p w14:paraId="5B62ED42" w14:textId="11AB3618" w:rsidR="00E7045E" w:rsidRPr="00E7045E" w:rsidRDefault="00E7045E" w:rsidP="00E7045E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sz w:val="22"/>
          <w:szCs w:val="22"/>
        </w:rPr>
        <w:t>Outras ferramentas específicas que forem necessárias conforme a operação avança (ex.: automação, funil de e-mail, licenças de edição).</w:t>
      </w:r>
      <w:r>
        <w:rPr>
          <w:sz w:val="22"/>
          <w:szCs w:val="22"/>
        </w:rPr>
        <w:br/>
      </w:r>
    </w:p>
    <w:p w14:paraId="6D0B58C9" w14:textId="6EB78661" w:rsidR="00E7045E" w:rsidRDefault="00E7045E" w:rsidP="00E7045E">
      <w:pPr>
        <w:pStyle w:val="PargrafodaLista"/>
        <w:spacing w:after="60"/>
        <w:ind w:left="400"/>
        <w:rPr>
          <w:sz w:val="22"/>
          <w:szCs w:val="22"/>
        </w:rPr>
      </w:pPr>
      <w:r w:rsidRPr="00E7045E">
        <w:rPr>
          <w:sz w:val="22"/>
          <w:szCs w:val="22"/>
        </w:rPr>
        <w:t>Esses custos variáveis serão sempre apresentados e aprovados antes da contratação — nenhuma ferramenta será assinada sem validação prévia dos sócios.</w:t>
      </w:r>
    </w:p>
    <w:p w14:paraId="67D606A3" w14:textId="77777777" w:rsidR="00E7045E" w:rsidRDefault="00E7045E" w:rsidP="00E7045E">
      <w:pPr>
        <w:pStyle w:val="PargrafodaLista"/>
        <w:spacing w:after="60"/>
        <w:ind w:left="400"/>
        <w:rPr>
          <w:sz w:val="22"/>
          <w:szCs w:val="22"/>
        </w:rPr>
      </w:pPr>
    </w:p>
    <w:p w14:paraId="41C98051" w14:textId="77777777" w:rsidR="00E7045E" w:rsidRDefault="00E7045E" w:rsidP="00E7045E">
      <w:pPr>
        <w:pBdr>
          <w:bottom w:val="single" w:sz="6" w:space="1" w:color="CCCCCC"/>
        </w:pBdr>
        <w:spacing w:before="100" w:after="200"/>
      </w:pPr>
    </w:p>
    <w:p w14:paraId="6A4C74F2" w14:textId="38369289" w:rsidR="00E7045E" w:rsidRPr="00AE5F16" w:rsidRDefault="00E7045E" w:rsidP="00E7045E">
      <w:pPr>
        <w:pStyle w:val="Ttulo1"/>
        <w:spacing w:before="320" w:after="140"/>
        <w:rPr>
          <w:sz w:val="36"/>
          <w:szCs w:val="36"/>
        </w:rPr>
      </w:pPr>
      <w:r>
        <w:rPr>
          <w:b/>
          <w:bCs/>
          <w:color w:val="3E4A35"/>
          <w:sz w:val="36"/>
          <w:szCs w:val="36"/>
        </w:rPr>
        <w:t>Condição de ativação</w:t>
      </w:r>
    </w:p>
    <w:p w14:paraId="0728C2E5" w14:textId="72EA9432" w:rsidR="00E7045E" w:rsidRPr="00E7045E" w:rsidRDefault="00E7045E" w:rsidP="00565D31">
      <w:pPr>
        <w:pStyle w:val="PargrafodaLista"/>
        <w:numPr>
          <w:ilvl w:val="0"/>
          <w:numId w:val="2"/>
        </w:numPr>
        <w:spacing w:after="60"/>
        <w:rPr>
          <w:sz w:val="22"/>
          <w:szCs w:val="22"/>
        </w:rPr>
      </w:pPr>
      <w:r w:rsidRPr="00E7045E">
        <w:rPr>
          <w:sz w:val="22"/>
          <w:szCs w:val="22"/>
        </w:rPr>
        <w:t xml:space="preserve">A aprovação desta proposta ativa o início imediato da </w:t>
      </w:r>
      <w:r w:rsidRPr="00E7045E">
        <w:rPr>
          <w:b/>
          <w:bCs/>
          <w:sz w:val="22"/>
          <w:szCs w:val="22"/>
        </w:rPr>
        <w:t>Fase 1</w:t>
      </w:r>
      <w:r w:rsidRPr="00E7045E">
        <w:rPr>
          <w:sz w:val="22"/>
          <w:szCs w:val="22"/>
        </w:rPr>
        <w:t>, com o primeiro pagamento do valor fixo</w:t>
      </w:r>
      <w:r>
        <w:rPr>
          <w:sz w:val="22"/>
          <w:szCs w:val="22"/>
        </w:rPr>
        <w:t>/mensal</w:t>
      </w:r>
      <w:r w:rsidRPr="00E7045E">
        <w:rPr>
          <w:sz w:val="22"/>
          <w:szCs w:val="22"/>
        </w:rPr>
        <w:t xml:space="preserve"> (R$ 1.500,00). </w:t>
      </w:r>
    </w:p>
    <w:sectPr w:rsidR="00E7045E" w:rsidRPr="00E704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76B2"/>
    <w:multiLevelType w:val="hybridMultilevel"/>
    <w:tmpl w:val="185E19E4"/>
    <w:lvl w:ilvl="0" w:tplc="B4BACB9C">
      <w:start w:val="1"/>
      <w:numFmt w:val="bullet"/>
      <w:lvlText w:val="●"/>
      <w:lvlJc w:val="left"/>
      <w:pPr>
        <w:ind w:left="720" w:hanging="360"/>
      </w:pPr>
    </w:lvl>
    <w:lvl w:ilvl="1" w:tplc="B34E3218">
      <w:start w:val="1"/>
      <w:numFmt w:val="bullet"/>
      <w:lvlText w:val="○"/>
      <w:lvlJc w:val="left"/>
      <w:pPr>
        <w:ind w:left="1440" w:hanging="360"/>
      </w:pPr>
    </w:lvl>
    <w:lvl w:ilvl="2" w:tplc="085AC82E">
      <w:start w:val="1"/>
      <w:numFmt w:val="bullet"/>
      <w:lvlText w:val="■"/>
      <w:lvlJc w:val="left"/>
      <w:pPr>
        <w:ind w:left="2160" w:hanging="360"/>
      </w:pPr>
    </w:lvl>
    <w:lvl w:ilvl="3" w:tplc="0134601A">
      <w:start w:val="1"/>
      <w:numFmt w:val="bullet"/>
      <w:lvlText w:val="●"/>
      <w:lvlJc w:val="left"/>
      <w:pPr>
        <w:ind w:left="2880" w:hanging="360"/>
      </w:pPr>
    </w:lvl>
    <w:lvl w:ilvl="4" w:tplc="498CECC4">
      <w:start w:val="1"/>
      <w:numFmt w:val="bullet"/>
      <w:lvlText w:val="○"/>
      <w:lvlJc w:val="left"/>
      <w:pPr>
        <w:ind w:left="3600" w:hanging="360"/>
      </w:pPr>
    </w:lvl>
    <w:lvl w:ilvl="5" w:tplc="A4BE81BC">
      <w:start w:val="1"/>
      <w:numFmt w:val="bullet"/>
      <w:lvlText w:val="■"/>
      <w:lvlJc w:val="left"/>
      <w:pPr>
        <w:ind w:left="4320" w:hanging="360"/>
      </w:pPr>
    </w:lvl>
    <w:lvl w:ilvl="6" w:tplc="A9D28D8A">
      <w:start w:val="1"/>
      <w:numFmt w:val="bullet"/>
      <w:lvlText w:val="●"/>
      <w:lvlJc w:val="left"/>
      <w:pPr>
        <w:ind w:left="5040" w:hanging="360"/>
      </w:pPr>
    </w:lvl>
    <w:lvl w:ilvl="7" w:tplc="8EE8F964">
      <w:start w:val="1"/>
      <w:numFmt w:val="bullet"/>
      <w:lvlText w:val="●"/>
      <w:lvlJc w:val="left"/>
      <w:pPr>
        <w:ind w:left="5760" w:hanging="360"/>
      </w:pPr>
    </w:lvl>
    <w:lvl w:ilvl="8" w:tplc="38B6E6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151F2"/>
    <w:multiLevelType w:val="hybridMultilevel"/>
    <w:tmpl w:val="0A0CACFE"/>
    <w:lvl w:ilvl="0" w:tplc="66FC44E0">
      <w:start w:val="1"/>
      <w:numFmt w:val="bullet"/>
      <w:lvlText w:val="•"/>
      <w:lvlJc w:val="left"/>
      <w:pPr>
        <w:ind w:left="400" w:hanging="260"/>
      </w:pPr>
    </w:lvl>
    <w:lvl w:ilvl="1" w:tplc="AEDEFA1E">
      <w:numFmt w:val="decimal"/>
      <w:lvlText w:val=""/>
      <w:lvlJc w:val="left"/>
    </w:lvl>
    <w:lvl w:ilvl="2" w:tplc="66FC44E0">
      <w:start w:val="1"/>
      <w:numFmt w:val="bullet"/>
      <w:lvlText w:val="•"/>
      <w:lvlJc w:val="left"/>
      <w:pPr>
        <w:ind w:left="260" w:hanging="260"/>
      </w:pPr>
    </w:lvl>
    <w:lvl w:ilvl="3" w:tplc="66FC44E0">
      <w:start w:val="1"/>
      <w:numFmt w:val="bullet"/>
      <w:lvlText w:val="•"/>
      <w:lvlJc w:val="left"/>
      <w:pPr>
        <w:ind w:left="260" w:hanging="260"/>
      </w:pPr>
    </w:lvl>
    <w:lvl w:ilvl="4" w:tplc="24AAF500">
      <w:numFmt w:val="decimal"/>
      <w:lvlText w:val=""/>
      <w:lvlJc w:val="left"/>
    </w:lvl>
    <w:lvl w:ilvl="5" w:tplc="A2063558">
      <w:numFmt w:val="decimal"/>
      <w:lvlText w:val=""/>
      <w:lvlJc w:val="left"/>
    </w:lvl>
    <w:lvl w:ilvl="6" w:tplc="CB52A3A0">
      <w:numFmt w:val="decimal"/>
      <w:lvlText w:val=""/>
      <w:lvlJc w:val="left"/>
    </w:lvl>
    <w:lvl w:ilvl="7" w:tplc="BBE01474">
      <w:numFmt w:val="decimal"/>
      <w:lvlText w:val=""/>
      <w:lvlJc w:val="left"/>
    </w:lvl>
    <w:lvl w:ilvl="8" w:tplc="FFE0BC10">
      <w:numFmt w:val="decimal"/>
      <w:lvlText w:val=""/>
      <w:lvlJc w:val="left"/>
    </w:lvl>
  </w:abstractNum>
  <w:num w:numId="1" w16cid:durableId="1868449598">
    <w:abstractNumId w:val="0"/>
    <w:lvlOverride w:ilvl="0">
      <w:startOverride w:val="1"/>
    </w:lvlOverride>
  </w:num>
  <w:num w:numId="2" w16cid:durableId="1188758845">
    <w:abstractNumId w:val="1"/>
  </w:num>
  <w:num w:numId="3" w16cid:durableId="218371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1B8"/>
    <w:rsid w:val="000801B8"/>
    <w:rsid w:val="00AE5F16"/>
    <w:rsid w:val="00E7045E"/>
    <w:rsid w:val="00EB0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32EE"/>
  <w15:docId w15:val="{FE967920-E5DF-4AAF-BFB6-A066BA644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966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Djavan</cp:lastModifiedBy>
  <cp:revision>3</cp:revision>
  <dcterms:created xsi:type="dcterms:W3CDTF">2026-07-14T23:44:00Z</dcterms:created>
  <dcterms:modified xsi:type="dcterms:W3CDTF">2026-07-15T00:14:00Z</dcterms:modified>
</cp:coreProperties>
</file>