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color w:val="61358C"/>
          <w:sz w:val="52"/>
        </w:rPr>
        <w:t>Manual do Usuário — Sistema de Estoque de Farmácia</w:t>
      </w:r>
    </w:p>
    <w:p>
      <w:pPr>
        <w:jc w:val="center"/>
      </w:pPr>
      <w:r>
        <w:rPr>
          <w:color w:val="555555"/>
          <w:sz w:val="28"/>
        </w:rPr>
        <w:t>Guia objetivo de uso das funções do sistema</w:t>
      </w:r>
    </w:p>
    <w:p>
      <w:r>
        <w:br w:type="page"/>
      </w:r>
    </w:p>
    <w:p>
      <w:pPr>
        <w:pStyle w:val="Heading1"/>
      </w:pPr>
      <w:r>
        <w:rPr>
          <w:color w:val="61358C"/>
        </w:rPr>
        <w:t>Sumário</w:t>
      </w:r>
    </w:p>
    <w:p>
      <w:pPr>
        <w:pStyle w:val="ListNumber"/>
      </w:pPr>
      <w:r>
        <w:t>Acesso ao Sistema</w:t>
      </w:r>
    </w:p>
    <w:p>
      <w:pPr>
        <w:pStyle w:val="ListNumber"/>
      </w:pPr>
      <w:r>
        <w:t>Formulários Públicos</w:t>
      </w:r>
    </w:p>
    <w:p>
      <w:pPr>
        <w:pStyle w:val="ListNumber"/>
      </w:pPr>
      <w:r>
        <w:t>Estoque</w:t>
      </w:r>
    </w:p>
    <w:p>
      <w:pPr>
        <w:pStyle w:val="ListNumber"/>
      </w:pPr>
      <w:r>
        <w:t>Entrada de Medicamentos</w:t>
      </w:r>
    </w:p>
    <w:p>
      <w:pPr>
        <w:pStyle w:val="ListNumber"/>
      </w:pPr>
      <w:r>
        <w:t>Transferência entre Unidades</w:t>
      </w:r>
    </w:p>
    <w:p>
      <w:pPr>
        <w:pStyle w:val="ListNumber"/>
      </w:pPr>
      <w:r>
        <w:t>Ressuprimento</w:t>
      </w:r>
    </w:p>
    <w:p>
      <w:pPr>
        <w:pStyle w:val="ListNumber"/>
      </w:pPr>
      <w:r>
        <w:t>Saída / Dispensação</w:t>
      </w:r>
    </w:p>
    <w:p>
      <w:pPr>
        <w:pStyle w:val="ListNumber"/>
      </w:pPr>
      <w:r>
        <w:t>Saída Externa</w:t>
      </w:r>
    </w:p>
    <w:p>
      <w:pPr>
        <w:pStyle w:val="ListNumber"/>
      </w:pPr>
      <w:r>
        <w:t>Carrinhos de Emergência</w:t>
      </w:r>
    </w:p>
    <w:p>
      <w:pPr>
        <w:pStyle w:val="ListNumber"/>
      </w:pPr>
      <w:r>
        <w:t>Ajuste de Estoque</w:t>
      </w:r>
    </w:p>
    <w:p>
      <w:pPr>
        <w:pStyle w:val="ListNumber"/>
      </w:pPr>
      <w:r>
        <w:t>Minhas Ações</w:t>
      </w:r>
    </w:p>
    <w:p>
      <w:pPr>
        <w:pStyle w:val="ListNumber"/>
      </w:pPr>
      <w:r>
        <w:t>Medicamentos</w:t>
      </w:r>
    </w:p>
    <w:p>
      <w:pPr>
        <w:pStyle w:val="ListNumber"/>
      </w:pPr>
      <w:r>
        <w:t>Relatórios</w:t>
      </w:r>
    </w:p>
    <w:p>
      <w:pPr>
        <w:pStyle w:val="ListNumber"/>
      </w:pPr>
      <w:r>
        <w:t>Usuários</w:t>
      </w:r>
    </w:p>
    <w:p>
      <w:pPr>
        <w:pStyle w:val="ListNumber"/>
      </w:pPr>
      <w:r>
        <w:t>Permissões</w:t>
      </w:r>
    </w:p>
    <w:p>
      <w:pPr>
        <w:pStyle w:val="ListNumber"/>
      </w:pPr>
      <w:r>
        <w:t>Logs de Erro</w:t>
      </w:r>
    </w:p>
    <w:p>
      <w:r>
        <w:br w:type="page"/>
      </w:r>
    </w:p>
    <w:p>
      <w:pPr>
        <w:pStyle w:val="Heading1"/>
      </w:pPr>
      <w:r>
        <w:rPr>
          <w:color w:val="61358C"/>
        </w:rPr>
        <w:t>1. Acesso ao Sistema</w:t>
      </w:r>
    </w:p>
    <w:p>
      <w:r>
        <w:rPr>
          <w:i/>
          <w:color w:val="555555"/>
          <w:sz w:val="20"/>
        </w:rPr>
        <w:t>Quem pode usar: Qualquer usuário cadastrado</w:t>
      </w:r>
    </w:p>
    <w:p>
      <w:r>
        <w:t>O acesso é feito por login e senha. Perfis operacionais (Atendente, Farmacêutico) selecionam a unidade de atuação logo após o login — essa escolha define quais dados a sessão pode ver e movimentar. O perfil Admin não seleciona unidade, pois cuida apenas da configuração do sistema.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Acesse a página inicial do sistema e informe login e senha.</w:t>
      </w:r>
    </w:p>
    <w:p>
      <w:pPr>
        <w:pStyle w:val="ListBullet"/>
      </w:pPr>
      <w:r>
        <w:t>Se solicitado, defina uma nova senha antes de continuar.</w:t>
      </w:r>
    </w:p>
    <w:p>
      <w:pPr>
        <w:pStyle w:val="ListBullet"/>
      </w:pPr>
      <w:r>
        <w:t>Selecione a unidade de atuação da sessão (CAF ou uma unidade satélite), quando aplicável ao perfil.</w:t>
      </w:r>
    </w:p>
    <w:p>
      <w:pPr>
        <w:pStyle w:val="ListBullet"/>
      </w:pPr>
      <w:r>
        <w:t>Use o botão "Trocar senha", no menu lateral, para alterá-la a qualquer momento.</w:t>
      </w:r>
    </w:p>
    <w:p>
      <w:pPr>
        <w:pStyle w:val="ListBullet"/>
      </w:pPr>
      <w:r>
        <w:t>Use o botão "Sair" para encerrar a sessão com segurança.</w:t>
      </w:r>
    </w:p>
    <w:p>
      <w:r>
        <w:br w:type="page"/>
      </w:r>
    </w:p>
    <w:p>
      <w:pPr>
        <w:pStyle w:val="Heading1"/>
      </w:pPr>
      <w:r>
        <w:rPr>
          <w:color w:val="61358C"/>
        </w:rPr>
        <w:t>2. Formulários Públicos</w:t>
      </w:r>
    </w:p>
    <w:p>
      <w:r>
        <w:rPr>
          <w:i/>
          <w:color w:val="555555"/>
          <w:sz w:val="20"/>
        </w:rPr>
        <w:t>Quem pode usar: Qualquer colaborador, sem necessidade de login</w:t>
      </w:r>
    </w:p>
    <w:p>
      <w:r>
        <w:t>Dois formulários acessíveis sem login: devolução de medicamento não utilizado e registro de uso de carrinho de emergência (ou maleta/kit).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Para devolver medicamento: escolha a unidade de destino, o medicamento e a quantidade, e confirme o registro.</w:t>
      </w:r>
    </w:p>
    <w:p>
      <w:pPr>
        <w:pStyle w:val="ListBullet"/>
      </w:pPr>
      <w:r>
        <w:t>A devolução é confirmada pela unidade escolhida, que dá entrada do lote informando número e validade.</w:t>
      </w:r>
    </w:p>
    <w:p>
      <w:pPr>
        <w:pStyle w:val="ListBullet"/>
      </w:pPr>
      <w:r>
        <w:t>Para registrar uso de carrinho de emergência: escolha o setor, o carrinho utilizado e os itens usados, e confirme.</w:t>
      </w:r>
    </w:p>
    <w:p>
      <w:pPr>
        <w:pStyle w:val="ListBullet"/>
      </w:pPr>
      <w:r>
        <w:t>O registro dispara uma notificação para a farmácia responsável, que confirma a saída e a reposição do carrinho.</w:t>
      </w:r>
    </w:p>
    <w:p>
      <w:r>
        <w:br w:type="page"/>
      </w:r>
    </w:p>
    <w:p>
      <w:pPr>
        <w:pStyle w:val="Heading1"/>
      </w:pPr>
      <w:r>
        <w:rPr>
          <w:color w:val="61358C"/>
        </w:rPr>
        <w:t>3. Estoque</w:t>
      </w:r>
    </w:p>
    <w:p>
      <w:r>
        <w:rPr>
          <w:i/>
          <w:color w:val="555555"/>
          <w:sz w:val="20"/>
        </w:rPr>
        <w:t>Quem pode usar: Consulta conforme unidade ativa; Coordenador vê o consolidado de todas as unidades</w:t>
      </w:r>
    </w:p>
    <w:p>
      <w:r>
        <w:t>Tela inicial do sistema, com indicadores de estoque crítico, lotes vencendo, transferências pendentes e (para quem tem acesso financeiro) valor total em estoque. Lista todos os lotes disponíveis na unidade ativa da sessão.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Consulte os indicadores no topo da tela para uma visão geral do estoque.</w:t>
      </w:r>
    </w:p>
    <w:p>
      <w:pPr>
        <w:pStyle w:val="ListBullet"/>
      </w:pPr>
      <w:r>
        <w:t>Expanda os alertas de estoque crítico e de vencimento para ver o detalhamento.</w:t>
      </w:r>
    </w:p>
    <w:p>
      <w:pPr>
        <w:pStyle w:val="ListBullet"/>
      </w:pPr>
      <w:r>
        <w:t>Use a busca para localizar um lote por medicamento ou número de lote.</w:t>
      </w:r>
    </w:p>
    <w:p>
      <w:pPr>
        <w:pStyle w:val="ListBullet"/>
      </w:pPr>
      <w:r>
        <w:t>Consulte validade, quantidade e, se disponível, o valor unitário de cada lote.</w:t>
      </w:r>
    </w:p>
    <w:p>
      <w:pPr>
        <w:pStyle w:val="ListBullet"/>
      </w:pPr>
      <w:r>
        <w:t>Usuários com a permissão correspondente podem editar o valor unitário de um lote diretamente na lista, informando o novo valor.</w:t>
      </w:r>
    </w:p>
    <w:p>
      <w:r>
        <w:br w:type="page"/>
      </w:r>
    </w:p>
    <w:p>
      <w:pPr>
        <w:pStyle w:val="Heading1"/>
      </w:pPr>
      <w:r>
        <w:rPr>
          <w:color w:val="61358C"/>
        </w:rPr>
        <w:t>4. Entrada de Medicamentos</w:t>
      </w:r>
    </w:p>
    <w:p>
      <w:r>
        <w:rPr>
          <w:i/>
          <w:color w:val="555555"/>
          <w:sz w:val="20"/>
        </w:rPr>
        <w:t>Quem pode usar: Conforme permissão de cadastro de entrada</w:t>
      </w:r>
    </w:p>
    <w:p>
      <w:r>
        <w:t>Registra o recebimento de medicamentos por compra, doação ou confirmação de devolução pendente, vinculado a uma nota fiscal quando aplicável.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Informe a origem da entrada (compra, doação ou devolução) e os dados da nota fiscal, quando exigidos.</w:t>
      </w:r>
    </w:p>
    <w:p>
      <w:pPr>
        <w:pStyle w:val="ListBullet"/>
      </w:pPr>
      <w:r>
        <w:t>Busque cada medicamento e informe lote, validade, quantidade e valor unitário.</w:t>
      </w:r>
    </w:p>
    <w:p>
      <w:pPr>
        <w:pStyle w:val="ListBullet"/>
      </w:pPr>
      <w:r>
        <w:t>Confirme o registro para dar entrada dos lotes no estoque da unidade ativa.</w:t>
      </w:r>
    </w:p>
    <w:p>
      <w:pPr>
        <w:pStyle w:val="ListBullet"/>
      </w:pPr>
      <w:r>
        <w:t>Consulte a aba de devoluções pendentes para confirmar devoluções registradas pelo formulário público.</w:t>
      </w:r>
    </w:p>
    <w:p>
      <w:r>
        <w:br w:type="page"/>
      </w:r>
    </w:p>
    <w:p>
      <w:pPr>
        <w:pStyle w:val="Heading1"/>
      </w:pPr>
      <w:r>
        <w:rPr>
          <w:color w:val="61358C"/>
        </w:rPr>
        <w:t>5. Transferência entre Unidades</w:t>
      </w:r>
    </w:p>
    <w:p>
      <w:r>
        <w:rPr>
          <w:i/>
          <w:color w:val="555555"/>
          <w:sz w:val="20"/>
        </w:rPr>
        <w:t>Quem pode usar: Farmacêutico e Coordenador</w:t>
      </w:r>
    </w:p>
    <w:p>
      <w:r>
        <w:t>Envia estoque diretamente da unidade ativa para outra unidade (ou devolve um carrinho de emergência para a unidade que o hospeda). A transferência já é registrada como concluída no momento do envio.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Busque o lote a transferir e informe a quantidade.</w:t>
      </w:r>
    </w:p>
    <w:p>
      <w:pPr>
        <w:pStyle w:val="ListBullet"/>
      </w:pPr>
      <w:r>
        <w:t>Selecione a unidade de destino.</w:t>
      </w:r>
    </w:p>
    <w:p>
      <w:pPr>
        <w:pStyle w:val="ListBullet"/>
      </w:pPr>
      <w:r>
        <w:t>Confirme o envio — a transferência já sai confirmada, sem etapa de aceite pelo destino.</w:t>
      </w:r>
    </w:p>
    <w:p>
      <w:r>
        <w:br w:type="page"/>
      </w:r>
    </w:p>
    <w:p>
      <w:pPr>
        <w:pStyle w:val="Heading1"/>
      </w:pPr>
      <w:r>
        <w:rPr>
          <w:color w:val="61358C"/>
        </w:rPr>
        <w:t>6. Ressuprimento</w:t>
      </w:r>
    </w:p>
    <w:p>
      <w:r>
        <w:rPr>
          <w:i/>
          <w:color w:val="555555"/>
          <w:sz w:val="20"/>
        </w:rPr>
        <w:t>Quem pode usar: Solicitar: qualquer perfil operacional. Atender solicitações e configurar pontos de ressuprimento: CAF, Farmacêutico e Coordenador</w:t>
      </w:r>
    </w:p>
    <w:p>
      <w:r>
        <w:t>Fluxo em que a própria unidade solicita medicamento à CAF, diferente da Transferência (em que a CAF envia diretamente). Reúne também o acompanhamento das solicitações e o cadastro de quantidades mínimas de ressuprimento por medicamento e unidade.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Na aba Solicitar, busque o medicamento e informe a quantidade desejada.</w:t>
      </w:r>
    </w:p>
    <w:p>
      <w:pPr>
        <w:pStyle w:val="ListBullet"/>
      </w:pPr>
      <w:r>
        <w:t>Acompanhe o status das solicitações feitas pela própria unidade.</w:t>
      </w:r>
    </w:p>
    <w:p>
      <w:pPr>
        <w:pStyle w:val="ListBullet"/>
      </w:pPr>
      <w:r>
        <w:t>Perfis com acesso à CAF podem visualizar e atender solicitações pendentes de outras unidades.</w:t>
      </w:r>
    </w:p>
    <w:p>
      <w:pPr>
        <w:pStyle w:val="ListBullet"/>
      </w:pPr>
      <w:r>
        <w:t>Na aba Pontos de Ressuprimento, cadastre a quantidade padrão e mínima de cada medicamento por unidade.</w:t>
      </w:r>
    </w:p>
    <w:p>
      <w:r>
        <w:br w:type="page"/>
      </w:r>
    </w:p>
    <w:p>
      <w:pPr>
        <w:pStyle w:val="Heading1"/>
      </w:pPr>
      <w:r>
        <w:rPr>
          <w:color w:val="61358C"/>
        </w:rPr>
        <w:t>7. Saída / Dispensação</w:t>
      </w:r>
    </w:p>
    <w:p>
      <w:r>
        <w:rPr>
          <w:i/>
          <w:color w:val="555555"/>
          <w:sz w:val="20"/>
        </w:rPr>
        <w:t>Quem pode usar: Qualquer usuário autenticado</w:t>
      </w:r>
    </w:p>
    <w:p>
      <w:r>
        <w:t>Registra a dispensação de medicamento para uso interno. O sistema sugere automaticamente o lote com validade mais próxima (FEFO). Medicamentos controlados ou antimicrobianos exigem identificação do paciente.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Busque o medicamento — o lote sugerido pela validade mais próxima aparece destacado.</w:t>
      </w:r>
    </w:p>
    <w:p>
      <w:pPr>
        <w:pStyle w:val="ListBullet"/>
      </w:pPr>
      <w:r>
        <w:t>Informe a quantidade e o setor consumidor.</w:t>
      </w:r>
    </w:p>
    <w:p>
      <w:pPr>
        <w:pStyle w:val="ListBullet"/>
      </w:pPr>
      <w:r>
        <w:t>Para medicamento controlado ou antimicrobiano, informe nome e prontuário do paciente.</w:t>
      </w:r>
    </w:p>
    <w:p>
      <w:pPr>
        <w:pStyle w:val="ListBullet"/>
      </w:pPr>
      <w:r>
        <w:t>É possível adicionar mais de um medicamento à lista antes de confirmar.</w:t>
      </w:r>
    </w:p>
    <w:p>
      <w:pPr>
        <w:pStyle w:val="ListBullet"/>
      </w:pPr>
      <w:r>
        <w:t>Confirme para registrar a saída de todos os itens da lista.</w:t>
      </w:r>
    </w:p>
    <w:p>
      <w:r>
        <w:br w:type="page"/>
      </w:r>
    </w:p>
    <w:p>
      <w:pPr>
        <w:pStyle w:val="Heading1"/>
      </w:pPr>
      <w:r>
        <w:rPr>
          <w:color w:val="61358C"/>
        </w:rPr>
        <w:t>8. Saída Externa</w:t>
      </w:r>
    </w:p>
    <w:p>
      <w:r>
        <w:rPr>
          <w:i/>
          <w:color w:val="555555"/>
          <w:sz w:val="20"/>
        </w:rPr>
        <w:t>Quem pode usar: Qualquer usuário autenticado</w:t>
      </w:r>
    </w:p>
    <w:p>
      <w:r>
        <w:t>Registra a saída de medicamento para fora do hospital — empréstimo, doação, permuta ou baixa por vencimento — separada da dispensação interna e sem dados de paciente.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Escolha a categoria da saída: empréstimo, doação, permuta ou vencimento.</w:t>
      </w:r>
    </w:p>
    <w:p>
      <w:pPr>
        <w:pStyle w:val="ListBullet"/>
      </w:pPr>
      <w:r>
        <w:t>Informe o destino externo e, se aplicável, o destinatário.</w:t>
      </w:r>
    </w:p>
    <w:p>
      <w:pPr>
        <w:pStyle w:val="ListBullet"/>
      </w:pPr>
      <w:r>
        <w:t>Busque cada medicamento e adicione à lista, com o lote sugerido por validade.</w:t>
      </w:r>
    </w:p>
    <w:p>
      <w:pPr>
        <w:pStyle w:val="ListBullet"/>
      </w:pPr>
      <w:r>
        <w:t>Confirme para registrar a saída de todos os itens.</w:t>
      </w:r>
    </w:p>
    <w:p>
      <w:r>
        <w:br w:type="page"/>
      </w:r>
    </w:p>
    <w:p>
      <w:pPr>
        <w:pStyle w:val="Heading1"/>
      </w:pPr>
      <w:r>
        <w:rPr>
          <w:color w:val="61358C"/>
        </w:rPr>
        <w:t>9. Carrinhos de Emergência</w:t>
      </w:r>
    </w:p>
    <w:p>
      <w:r>
        <w:rPr>
          <w:i/>
          <w:color w:val="555555"/>
          <w:sz w:val="20"/>
        </w:rPr>
        <w:t>Quem pode usar: Repor: unidade que hospeda o carrinho, ou a CAF (qualquer carrinho). Confirmar solicitações: qualquer perfil operacional</w:t>
      </w:r>
    </w:p>
    <w:p>
      <w:r>
        <w:t>Gerencia a reposição de carrinhos de emergência, maletas e kits, a partir do estoque da unidade ativa da sessão.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Na aba Repor Carrinho, busque o lote de origem e informe a quantidade.</w:t>
      </w:r>
    </w:p>
    <w:p>
      <w:pPr>
        <w:pStyle w:val="ListBullet"/>
      </w:pPr>
      <w:r>
        <w:t>Selecione o carrinho de destino.</w:t>
      </w:r>
    </w:p>
    <w:p>
      <w:pPr>
        <w:pStyle w:val="ListBullet"/>
      </w:pPr>
      <w:r>
        <w:t>Confirme para repor o carrinho — o lote já sai como recebido no destino.</w:t>
      </w:r>
    </w:p>
    <w:p>
      <w:pPr>
        <w:pStyle w:val="ListBullet"/>
      </w:pPr>
      <w:r>
        <w:t>Na aba Solicitações de Ressuprimento, confirme os registros feitos pelo formulário público de uso de carrinho.</w:t>
      </w:r>
    </w:p>
    <w:p>
      <w:r>
        <w:br w:type="page"/>
      </w:r>
    </w:p>
    <w:p>
      <w:pPr>
        <w:pStyle w:val="Heading1"/>
      </w:pPr>
      <w:r>
        <w:rPr>
          <w:color w:val="61358C"/>
        </w:rPr>
        <w:t>10. Ajuste de Estoque</w:t>
      </w:r>
    </w:p>
    <w:p>
      <w:r>
        <w:rPr>
          <w:i/>
          <w:color w:val="555555"/>
          <w:sz w:val="20"/>
        </w:rPr>
        <w:t>Quem pode usar: Ajuste de saldo: conforme permissão de ajuste de estoque. Correção de valor e de dados do lote: permissão específica de correção de valor</w:t>
      </w:r>
    </w:p>
    <w:p>
      <w:r>
        <w:t>Corrige o saldo de um lote fora dos fluxos normais (após uma contagem física, por exemplo), o valor unitário pago por um lote, ou o número/validade de um lote lançado com erro.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Para corrigir saldo: busque o lote, informe a quantidade correta encontrada na contagem e o motivo.</w:t>
      </w:r>
    </w:p>
    <w:p>
      <w:pPr>
        <w:pStyle w:val="ListBullet"/>
      </w:pPr>
      <w:r>
        <w:t>Para corrigir valor unitário: busque o lote, informe o novo valor e o motivo.</w:t>
      </w:r>
    </w:p>
    <w:p>
      <w:pPr>
        <w:pStyle w:val="ListBullet"/>
      </w:pPr>
      <w:r>
        <w:t>Para corrigir número de lote ou validade: busque o lote e informe os dados corretos e o motivo.</w:t>
      </w:r>
    </w:p>
    <w:p>
      <w:pPr>
        <w:pStyle w:val="ListBullet"/>
      </w:pPr>
      <w:r>
        <w:t>Todas as correções ficam registradas na trilha de auditoria, com motivo obrigatório.</w:t>
      </w:r>
    </w:p>
    <w:p>
      <w:r>
        <w:br w:type="page"/>
      </w:r>
    </w:p>
    <w:p>
      <w:pPr>
        <w:pStyle w:val="Heading1"/>
      </w:pPr>
      <w:r>
        <w:rPr>
          <w:color w:val="61358C"/>
        </w:rPr>
        <w:t>11. Minhas Ações</w:t>
      </w:r>
    </w:p>
    <w:p>
      <w:r>
        <w:rPr>
          <w:i/>
          <w:color w:val="555555"/>
          <w:sz w:val="20"/>
        </w:rPr>
        <w:t>Quem pode usar: Qualquer usuário autenticado, apenas para os próprios registros</w:t>
      </w:r>
    </w:p>
    <w:p>
      <w:r>
        <w:t>Histórico pessoal de tudo o que o usuário logado registrou no sistema, com opção de autocorreção de alguns dados sem depender de outro perfil.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Filtre o histórico por tipo de movimentação e período.</w:t>
      </w:r>
    </w:p>
    <w:p>
      <w:pPr>
        <w:pStyle w:val="ListBullet"/>
      </w:pPr>
      <w:r>
        <w:t>Consulte os detalhes de cada registro feito pelo próprio usuário.</w:t>
      </w:r>
    </w:p>
    <w:p>
      <w:pPr>
        <w:pStyle w:val="ListBullet"/>
      </w:pPr>
      <w:r>
        <w:t>Corrija o setor ou os dados de paciente de uma saída própria, quando necessário.</w:t>
      </w:r>
    </w:p>
    <w:p>
      <w:pPr>
        <w:pStyle w:val="ListBullet"/>
      </w:pPr>
      <w:r>
        <w:t>Corrija o número da nota fiscal ou do AFM de uma entrada própria, quando necessário.</w:t>
      </w:r>
    </w:p>
    <w:p>
      <w:r>
        <w:br w:type="page"/>
      </w:r>
    </w:p>
    <w:p>
      <w:pPr>
        <w:pStyle w:val="Heading1"/>
      </w:pPr>
      <w:r>
        <w:rPr>
          <w:color w:val="61358C"/>
        </w:rPr>
        <w:t>12. Medicamentos</w:t>
      </w:r>
    </w:p>
    <w:p>
      <w:r>
        <w:rPr>
          <w:i/>
          <w:color w:val="555555"/>
          <w:sz w:val="20"/>
        </w:rPr>
        <w:t>Quem pode usar: Farmacêutico e Coordenador</w:t>
      </w:r>
    </w:p>
    <w:p>
      <w:r>
        <w:t>Cadastro base de medicamentos, usado nas buscas de todas as demais telas. Um medicamento nunca é excluído — apenas desativado, preservando o histórico de lotes já registrados com ele.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Cadastre um novo medicamento informando nome, apresentação e, opcionalmente, concentração, fabricante, acondicionamento e estoque mínimo.</w:t>
      </w:r>
    </w:p>
    <w:p>
      <w:pPr>
        <w:pStyle w:val="ListBullet"/>
      </w:pPr>
      <w:r>
        <w:t>Marque "É antimicrobiano" ou "É controlado" quando aplicável — isso passa a exigir paciente/prontuário na Saída.</w:t>
      </w:r>
    </w:p>
    <w:p>
      <w:pPr>
        <w:pStyle w:val="ListBullet"/>
      </w:pPr>
      <w:r>
        <w:t>Edite os dados de um medicamento existente conforme necessário.</w:t>
      </w:r>
    </w:p>
    <w:p>
      <w:pPr>
        <w:pStyle w:val="ListBullet"/>
      </w:pPr>
      <w:r>
        <w:t>Desative um medicamento que não deve mais ser usado em novos lançamentos.</w:t>
      </w:r>
    </w:p>
    <w:p>
      <w:r>
        <w:br w:type="page"/>
      </w:r>
    </w:p>
    <w:p>
      <w:pPr>
        <w:pStyle w:val="Heading1"/>
      </w:pPr>
      <w:r>
        <w:rPr>
          <w:color w:val="61358C"/>
        </w:rPr>
        <w:t>13. Relatórios</w:t>
      </w:r>
    </w:p>
    <w:p>
      <w:r>
        <w:rPr>
          <w:i/>
          <w:color w:val="555555"/>
          <w:sz w:val="20"/>
        </w:rPr>
        <w:t>Quem pode usar: Consulta variável por perfil — relatórios financeiros exigem acesso financeiro; auditoria é exclusiva do Coordenador</w:t>
      </w:r>
    </w:p>
    <w:p>
      <w:r>
        <w:t>Reúne os relatórios do sistema, com prévia em tela e exportação em PDF ou Excel: Consolidado Geral, Custo por Setor, Consumo de Medicamentos, Rastreabilidade e Movimentação de Transferências, Trilha de Auditoria, Relatório Geral de Movimentações, Vencimentos Próximos, Estoque Crítico, Antimicrobianos e Controlados.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Escolha o relatório desejado nas abas superiores.</w:t>
      </w:r>
    </w:p>
    <w:p>
      <w:pPr>
        <w:pStyle w:val="ListBullet"/>
      </w:pPr>
      <w:r>
        <w:t>Ajuste os filtros disponíveis (período, unidade, categoria, entre outros).</w:t>
      </w:r>
    </w:p>
    <w:p>
      <w:pPr>
        <w:pStyle w:val="ListBullet"/>
      </w:pPr>
      <w:r>
        <w:t>Consulte a prévia diretamente na tela.</w:t>
      </w:r>
    </w:p>
    <w:p>
      <w:pPr>
        <w:pStyle w:val="ListBullet"/>
      </w:pPr>
      <w:r>
        <w:t>Use os botões "Exportar PDF" ou "Exportar Excel" para baixar o relatório.</w:t>
      </w:r>
    </w:p>
    <w:p>
      <w:pPr>
        <w:pStyle w:val="ListBullet"/>
      </w:pPr>
      <w:r>
        <w:t>O Relatório Geral de Movimentações mostra nome e prontuário do paciente apenas para Farmacêutico e Coordenador.</w:t>
      </w:r>
    </w:p>
    <w:p>
      <w:r>
        <w:br w:type="page"/>
      </w:r>
    </w:p>
    <w:p>
      <w:pPr>
        <w:pStyle w:val="Heading1"/>
      </w:pPr>
      <w:r>
        <w:rPr>
          <w:color w:val="61358C"/>
        </w:rPr>
        <w:t>14. Usuários</w:t>
      </w:r>
    </w:p>
    <w:p>
      <w:r>
        <w:rPr>
          <w:i/>
          <w:color w:val="555555"/>
          <w:sz w:val="20"/>
        </w:rPr>
        <w:t>Quem pode usar: Coordenador</w:t>
      </w:r>
    </w:p>
    <w:p>
      <w:r>
        <w:t>Cadastro dos logins que acessam o sistema. Um usuário nunca é excluído — ao ser desligado, é apenas desativado, preservando o histórico de movimentações já registradas por ele.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Acesse Usuários para ver a lista de logins cadastrados.</w:t>
      </w:r>
    </w:p>
    <w:p>
      <w:pPr>
        <w:pStyle w:val="ListBullet"/>
      </w:pPr>
      <w:r>
        <w:t>Cadastre um novo usuário informando nome, login, senha inicial e perfil.</w:t>
      </w:r>
    </w:p>
    <w:p>
      <w:pPr>
        <w:pStyle w:val="ListBullet"/>
      </w:pPr>
      <w:r>
        <w:t>Edite o nome, o perfil ou redefina a senha de um usuário existente.</w:t>
      </w:r>
    </w:p>
    <w:p>
      <w:pPr>
        <w:pStyle w:val="ListBullet"/>
      </w:pPr>
      <w:r>
        <w:t>Desative um usuário que não deve mais acessar o sistema.</w:t>
      </w:r>
    </w:p>
    <w:p>
      <w:r>
        <w:br w:type="page"/>
      </w:r>
    </w:p>
    <w:p>
      <w:pPr>
        <w:pStyle w:val="Heading1"/>
      </w:pPr>
      <w:r>
        <w:rPr>
          <w:color w:val="61358C"/>
        </w:rPr>
        <w:t>15. Permissões</w:t>
      </w:r>
    </w:p>
    <w:p>
      <w:r>
        <w:rPr>
          <w:i/>
          <w:color w:val="555555"/>
          <w:sz w:val="20"/>
        </w:rPr>
        <w:t>Quem pode usar: Exclusivo do Admin</w:t>
      </w:r>
    </w:p>
    <w:p>
      <w:r>
        <w:t>Define o que os perfis Atendente e Farmacêutico podem fazer além do uso básico do sistema, por meio de uma matriz configurável de ações. O Coordenador sempre tem acesso completo, como o Admin.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Acesse Permissões para ver a matriz de ações por perfil.</w:t>
      </w:r>
    </w:p>
    <w:p>
      <w:pPr>
        <w:pStyle w:val="ListBullet"/>
      </w:pPr>
      <w:r>
        <w:t>Marque ou desmarque cada ação para liberar ou restringir o acesso.</w:t>
      </w:r>
    </w:p>
    <w:p>
      <w:pPr>
        <w:pStyle w:val="ListBullet"/>
      </w:pPr>
      <w:r>
        <w:t>Salve as alterações para aplicá-las imediatamente.</w:t>
      </w:r>
    </w:p>
    <w:p>
      <w:r>
        <w:br w:type="page"/>
      </w:r>
    </w:p>
    <w:p>
      <w:pPr>
        <w:pStyle w:val="Heading1"/>
      </w:pPr>
      <w:r>
        <w:rPr>
          <w:color w:val="61358C"/>
        </w:rPr>
        <w:t>16. Logs de Erro</w:t>
      </w:r>
    </w:p>
    <w:p>
      <w:r>
        <w:rPr>
          <w:i/>
          <w:color w:val="555555"/>
          <w:sz w:val="20"/>
        </w:rPr>
        <w:t>Quem pode usar: Exclusivo do Admin</w:t>
      </w:r>
    </w:p>
    <w:p>
      <w:r>
        <w:t>Lista os eventos de erro registrados pelo sistema, mais recentes primeiro, para acompanhamento técnico e identificação de falhas.</w:t>
      </w:r>
    </w:p>
    <w:p>
      <w:pPr>
        <w:pStyle w:val="Heading2"/>
      </w:pPr>
      <w:r>
        <w:rPr>
          <w:color w:val="61358C"/>
          <w:sz w:val="26"/>
        </w:rPr>
        <w:t>Como usar</w:t>
      </w:r>
    </w:p>
    <w:p>
      <w:pPr>
        <w:pStyle w:val="ListBullet"/>
      </w:pPr>
      <w:r>
        <w:t>Acesse Logs de Erro e escolha o período desejado (em dias).</w:t>
      </w:r>
    </w:p>
    <w:p>
      <w:pPr>
        <w:pStyle w:val="ListBullet"/>
      </w:pPr>
      <w:r>
        <w:t>Marque "Mostrar ruído" para incluir também mensagens rotineiras de início e parada do serviço.</w:t>
      </w:r>
    </w:p>
    <w:p>
      <w:pPr>
        <w:pStyle w:val="ListBullet"/>
      </w:pPr>
      <w:r>
        <w:t>Clique em um evento da lista para ver o detalhe completo do erro.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