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43276"/>
          <w:sz w:val="56"/>
          <w:szCs w:val="56"/>
        </w:rPr>
        <w:t xml:space="preserve">IDENTIDADE VISUAL</w:t>
      </w:r>
    </w:p>
    <w:p>
      <w:pPr>
        <w:spacing w:after="80" w:before="160"/>
        <w:jc w:val="center"/>
      </w:pPr>
      <w:r>
        <w:rPr>
          <w:rFonts w:ascii="Calibri" w:cs="Calibri" w:eastAsia="Calibri" w:hAnsi="Calibri"/>
          <w:color w:val="2C2433"/>
          <w:sz w:val="36"/>
          <w:szCs w:val="36"/>
        </w:rPr>
        <w:t xml:space="preserve">Estoque Farmácia</w:t>
      </w:r>
    </w:p>
    <w:p>
      <w:pPr>
        <w:spacing w:after="500"/>
        <w:jc w:val="center"/>
      </w:pPr>
      <w:r>
        <w:rPr>
          <w:rFonts w:ascii="Calibri" w:cs="Calibri" w:eastAsia="Calibri" w:hAnsi="Calibri"/>
          <w:i/>
          <w:iCs/>
          <w:color w:val="73687D"/>
          <w:sz w:val="24"/>
          <w:szCs w:val="24"/>
        </w:rPr>
        <w:t xml:space="preserve">Sistema de Gerenciamento de Estoque Farmacêutico Hospitalar</w:t>
      </w:r>
    </w:p>
    <w:p>
      <w:pPr>
        <w:spacing w:after="60"/>
        <w:jc w:val="center"/>
      </w:pPr>
      <w:r>
        <w:rPr>
          <w:rFonts w:ascii="Calibri" w:cs="Calibri" w:eastAsia="Calibri" w:hAnsi="Calibri"/>
          <w:b/>
          <w:bCs/>
          <w:color w:val="2C2433"/>
          <w:sz w:val="24"/>
          <w:szCs w:val="24"/>
        </w:rPr>
        <w:t xml:space="preserve">Rede FESFSUS</w:t>
      </w:r>
    </w:p>
    <w:p>
      <w:pPr>
        <w:spacing w:after="900"/>
        <w:jc w:val="center"/>
      </w:pPr>
      <w:r>
        <w:rPr>
          <w:rFonts w:ascii="Calibri" w:cs="Calibri" w:eastAsia="Calibri" w:hAnsi="Calibri"/>
          <w:color w:val="73687D"/>
          <w:sz w:val="22"/>
          <w:szCs w:val="22"/>
        </w:rPr>
        <w:t xml:space="preserve">Hospital Materno Infantil Dr. Joaquim Sampaio</w:t>
      </w:r>
    </w:p>
    <w:p>
      <w:pPr>
        <w:jc w:val="center"/>
      </w:pPr>
      <w:r>
        <w:rPr>
          <w:rFonts w:ascii="Calibri" w:cs="Calibri" w:eastAsia="Calibri" w:hAnsi="Calibri"/>
          <w:color w:val="73687D"/>
          <w:sz w:val="20"/>
          <w:szCs w:val="20"/>
        </w:rPr>
        <w:t xml:space="preserve">Versão 1.0 — agosto de 2026</w:t>
      </w:r>
    </w:p>
    <w:p>
      <w:pPr>
        <w:jc w:val="center"/>
      </w:pPr>
      <w:r>
        <w:rPr>
          <w:rFonts w:ascii="Calibri" w:cs="Calibri" w:eastAsia="Calibri" w:hAnsi="Calibri"/>
          <w:i/>
          <w:iCs/>
          <w:color w:val="73687D"/>
          <w:sz w:val="18"/>
          <w:szCs w:val="18"/>
        </w:rPr>
        <w:t xml:space="preserve">Derivado do Manual de Aplicação de Marca — FESFSUS 2024</w:t>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543276"/>
        </w:rPr>
        <w:t xml:space="preserve">1. De onde isso vem</w:t>
      </w:r>
    </w:p>
    <w:p>
      <w:pPr>
        <w:spacing w:after="160" w:line="300"/>
      </w:pPr>
      <w:r>
        <w:rPr>
          <w:rFonts w:ascii="Calibri" w:cs="Calibri" w:eastAsia="Calibri" w:hAnsi="Calibri"/>
          <w:color w:val="2C2433"/>
          <w:sz w:val="22"/>
          <w:szCs w:val="22"/>
        </w:rPr>
        <w:t xml:space="preserve">Este documento parte do </w:t>
      </w:r>
      <w:r>
        <w:rPr>
          <w:rFonts w:ascii="Calibri" w:cs="Calibri" w:eastAsia="Calibri" w:hAnsi="Calibri"/>
          <w:b/>
          <w:bCs/>
          <w:color w:val="2C2433"/>
          <w:sz w:val="22"/>
          <w:szCs w:val="22"/>
        </w:rPr>
        <w:t xml:space="preserve">Manual de Aplicação de Marca — FESFSUS 2024</w:t>
      </w:r>
      <w:r>
        <w:rPr>
          <w:rFonts w:ascii="Calibri" w:cs="Calibri" w:eastAsia="Calibri" w:hAnsi="Calibri"/>
          <w:color w:val="2C2433"/>
          <w:sz w:val="22"/>
          <w:szCs w:val="22"/>
        </w:rPr>
        <w:t xml:space="preserve"> (arquivo fornecido pelo cliente), que é a fonte oficial da marca da Fundação. Dali vêm três coisas que este sistema não pode reinventar: a paleta de cinco cores, a régua de assinatura institucional e a proibição de alterar a marca fora de campanhas aprovadas pela ASCOM da FESF.</w:t>
      </w:r>
    </w:p>
    <w:p>
      <w:pPr>
        <w:spacing w:after="160" w:line="300"/>
      </w:pPr>
      <w:r>
        <w:rPr>
          <w:rFonts w:ascii="Calibri" w:cs="Calibri" w:eastAsia="Calibri" w:hAnsi="Calibri"/>
          <w:color w:val="2C2433"/>
          <w:sz w:val="22"/>
          <w:szCs w:val="22"/>
        </w:rPr>
        <w:t xml:space="preserve">O que este documento faz é pegar essa paleta — pensada para papelaria, uniformes e material impresso — e adaptá-la para uma tela de sistema hospitalar usada por 6 a 15 pessoas ao mesmo tempo, várias horas por dia, em turnos que incluem madrugada. Uma paleta de marca institucional costuma ser mais saturada do que o ideal para uso denso e prolongado em tela; por isso as cores do produto aqui são versões suavizadas (pastel) das cinco cores oficiais, e não as cores cheias aplicadas diretamente em botão, tabela e formulário.</w:t>
      </w:r>
    </w:p>
    <w:p>
      <w:pPr>
        <w:spacing w:after="160" w:line="300"/>
      </w:pPr>
      <w:r>
        <w:rPr>
          <w:rFonts w:ascii="Calibri" w:cs="Calibri" w:eastAsia="Calibri" w:hAnsi="Calibri"/>
          <w:color w:val="2C2433"/>
          <w:sz w:val="22"/>
          <w:szCs w:val="22"/>
        </w:rPr>
        <w:t xml:space="preserve">A decisão de unificar tudo sob a paleta FESF — em vez do verde-salva que vinha sendo usado até a rodada anterior do protótipo — e de suavizar essas cores em tom pastel foi confirmada pelo cliente em 2026-08-03.</w:t>
      </w:r>
    </w:p>
    <w:p>
      <w:pPr>
        <w:spacing w:after="160" w:line="300"/>
      </w:pPr>
      <w:r>
        <w:rPr>
          <w:rFonts w:ascii="Calibri" w:cs="Calibri" w:eastAsia="Calibri" w:hAnsi="Calibri"/>
          <w:color w:val="2C2433"/>
          <w:sz w:val="22"/>
          <w:szCs w:val="22"/>
        </w:rPr>
        <w:t xml:space="preserve">A régua de quatro cores e o roxo institucional continuam exatamente como no manual de marca — sem suavização — porque ali eles cumprem uma função diferente: identificar a Fundação, não decorar a interface.</w:t>
      </w:r>
    </w:p>
    <w:p>
      <w:pPr>
        <w:pStyle w:val="Heading1"/>
        <w:spacing w:after="200" w:before="420"/>
      </w:pPr>
      <w:r>
        <w:rPr>
          <w:b/>
          <w:bCs/>
          <w:color w:val="543276"/>
        </w:rPr>
        <w:t xml:space="preserve">2. Paleta oficial (herdada, não mexer)</w:t>
      </w:r>
    </w:p>
    <w:p>
      <w:pPr>
        <w:spacing w:after="160" w:line="300"/>
      </w:pPr>
      <w:r>
        <w:rPr>
          <w:rFonts w:ascii="Calibri" w:cs="Calibri" w:eastAsia="Calibri" w:hAnsi="Calibri"/>
          <w:color w:val="2C2433"/>
          <w:sz w:val="22"/>
          <w:szCs w:val="22"/>
        </w:rPr>
        <w:t xml:space="preserve">As cinco cores abaixo são as cores de marca da FESFSUS, extraídas do manual oficial. Elas seguem intactas em três lugares do sistema: a barra institucional no topo de cada tela, a régua de quatro cores logo abaixo dela, e o cabeçalho de todo relatório exportado.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50"/>
      </w:tblGrid>
      <w:tr>
        <w:tc>
          <w:tcPr>
            <w:tcW w:type="dxa" w:w="2100"/>
            <w:shd w:fill="61358C"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Roxo
#61358c</w:t>
            </w:r>
          </w:p>
        </w:tc>
        <w:tc>
          <w:tcPr>
            <w:tcW w:type="dxa" w:w="2100"/>
            <w:tcMar>
              <w:top w:type="dxa" w:w="100"/>
              <w:left w:type="dxa" w:w="120"/>
            </w:tcMar>
          </w:tcPr>
          <w:p>
            <w:pPr>
              <w:spacing w:after="160" w:line="300"/>
            </w:pPr>
            <w:r>
              <w:rPr>
                <w:rFonts w:ascii="Calibri" w:cs="Calibri" w:eastAsia="Calibri" w:hAnsi="Calibri"/>
                <w:color w:val="2C2433"/>
                <w:sz w:val="22"/>
                <w:szCs w:val="22"/>
              </w:rPr>
              <w:t xml:space="preserve">#61358c</w:t>
            </w:r>
          </w:p>
        </w:tc>
        <w:tc>
          <w:tcPr>
            <w:tcW w:type="dxa" w:w="5150"/>
            <w:tcMar>
              <w:top w:type="dxa" w:w="100"/>
              <w:left w:type="dxa" w:w="120"/>
            </w:tcMar>
          </w:tcPr>
          <w:p>
            <w:pPr>
              <w:spacing w:after="160" w:line="300"/>
            </w:pPr>
            <w:r>
              <w:rPr>
                <w:rFonts w:ascii="Calibri" w:cs="Calibri" w:eastAsia="Calibri" w:hAnsi="Calibri"/>
                <w:color w:val="2C2433"/>
                <w:sz w:val="22"/>
                <w:szCs w:val="22"/>
              </w:rPr>
              <w:t xml:space="preserve">Honra, feminino, criatividade, capacidade</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61358C"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
            </w:r>
          </w:p>
        </w:tc>
        <w:tc>
          <w:tcPr>
            <w:tcW w:type="dxa" w:w="1870"/>
            <w:shd w:fill="7572A7"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
            </w:r>
          </w:p>
        </w:tc>
        <w:tc>
          <w:tcPr>
            <w:tcW w:type="dxa" w:w="1870"/>
            <w:shd w:fill="79BFB4" w:val="clear"/>
            <w:tcMar>
              <w:top w:type="dxa" w:w="160"/>
              <w:left w:type="dxa" w:w="100"/>
              <w:bottom w:type="dxa" w:w="160"/>
              <w:right w:type="dxa" w:w="100"/>
            </w:tcMar>
            <w:vAlign w:val="center"/>
          </w:tcPr>
          <w:p>
            <w:pPr>
              <w:jc w:val="center"/>
            </w:pPr>
            <w:r>
              <w:rPr>
                <w:rFonts w:ascii="Calibri" w:cs="Calibri" w:eastAsia="Calibri" w:hAnsi="Calibri"/>
                <w:b/>
                <w:bCs/>
                <w:color w:val="2C2433"/>
                <w:sz w:val="18"/>
                <w:szCs w:val="18"/>
              </w:rPr>
              <w:t xml:space="preserve"/>
            </w:r>
          </w:p>
        </w:tc>
        <w:tc>
          <w:tcPr>
            <w:tcW w:type="dxa" w:w="1870"/>
            <w:shd w:fill="73D9A8" w:val="clear"/>
            <w:tcMar>
              <w:top w:type="dxa" w:w="160"/>
              <w:left w:type="dxa" w:w="100"/>
              <w:bottom w:type="dxa" w:w="160"/>
              <w:right w:type="dxa" w:w="100"/>
            </w:tcMar>
            <w:vAlign w:val="center"/>
          </w:tcPr>
          <w:p>
            <w:pPr>
              <w:jc w:val="center"/>
            </w:pPr>
            <w:r>
              <w:rPr>
                <w:rFonts w:ascii="Calibri" w:cs="Calibri" w:eastAsia="Calibri" w:hAnsi="Calibri"/>
                <w:b/>
                <w:bCs/>
                <w:color w:val="2C2433"/>
                <w:sz w:val="18"/>
                <w:szCs w:val="18"/>
              </w:rPr>
              <w:t xml:space="preserve"/>
            </w:r>
          </w:p>
        </w:tc>
        <w:tc>
          <w:tcPr>
            <w:tcW w:type="dxa" w:w="1870"/>
            <w:shd w:fill="575756"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
            </w:r>
          </w:p>
        </w:tc>
      </w:tr>
      <w:tr>
        <w:tc>
          <w:tcPr>
            <w:tcW w:type="dxa" w:w="1870"/>
            <w:tcMar>
              <w:top w:type="dxa" w:w="60"/>
              <w:bottom w:type="dxa" w:w="60"/>
            </w:tcMar>
          </w:tcPr>
          <w:p>
            <w:pPr>
              <w:jc w:val="center"/>
            </w:pPr>
            <w:r>
              <w:rPr>
                <w:rFonts w:ascii="Calibri" w:cs="Calibri" w:eastAsia="Calibri" w:hAnsi="Calibri"/>
                <w:color w:val="2C2433"/>
                <w:sz w:val="17"/>
                <w:szCs w:val="17"/>
              </w:rPr>
              <w:t xml:space="preserve">Roxo
#61358c</w:t>
            </w:r>
          </w:p>
        </w:tc>
        <w:tc>
          <w:tcPr>
            <w:tcW w:type="dxa" w:w="1870"/>
            <w:tcMar>
              <w:top w:type="dxa" w:w="60"/>
              <w:bottom w:type="dxa" w:w="60"/>
            </w:tcMar>
          </w:tcPr>
          <w:p>
            <w:pPr>
              <w:jc w:val="center"/>
            </w:pPr>
            <w:r>
              <w:rPr>
                <w:rFonts w:ascii="Calibri" w:cs="Calibri" w:eastAsia="Calibri" w:hAnsi="Calibri"/>
                <w:color w:val="2C2433"/>
                <w:sz w:val="17"/>
                <w:szCs w:val="17"/>
              </w:rPr>
              <w:t xml:space="preserve">Lis
#7572a7</w:t>
            </w:r>
          </w:p>
        </w:tc>
        <w:tc>
          <w:tcPr>
            <w:tcW w:type="dxa" w:w="1870"/>
            <w:tcMar>
              <w:top w:type="dxa" w:w="60"/>
              <w:bottom w:type="dxa" w:w="60"/>
            </w:tcMar>
          </w:tcPr>
          <w:p>
            <w:pPr>
              <w:jc w:val="center"/>
            </w:pPr>
            <w:r>
              <w:rPr>
                <w:rFonts w:ascii="Calibri" w:cs="Calibri" w:eastAsia="Calibri" w:hAnsi="Calibri"/>
                <w:color w:val="2C2433"/>
                <w:sz w:val="17"/>
                <w:szCs w:val="17"/>
              </w:rPr>
              <w:t xml:space="preserve">Verde-água
#79bfb4</w:t>
            </w:r>
          </w:p>
        </w:tc>
        <w:tc>
          <w:tcPr>
            <w:tcW w:type="dxa" w:w="1870"/>
            <w:tcMar>
              <w:top w:type="dxa" w:w="60"/>
              <w:bottom w:type="dxa" w:w="60"/>
            </w:tcMar>
          </w:tcPr>
          <w:p>
            <w:pPr>
              <w:jc w:val="center"/>
            </w:pPr>
            <w:r>
              <w:rPr>
                <w:rFonts w:ascii="Calibri" w:cs="Calibri" w:eastAsia="Calibri" w:hAnsi="Calibri"/>
                <w:color w:val="2C2433"/>
                <w:sz w:val="17"/>
                <w:szCs w:val="17"/>
              </w:rPr>
              <w:t xml:space="preserve">Menta
#73d9a8</w:t>
            </w:r>
          </w:p>
        </w:tc>
        <w:tc>
          <w:tcPr>
            <w:tcW w:type="dxa" w:w="1870"/>
            <w:tcMar>
              <w:top w:type="dxa" w:w="60"/>
              <w:bottom w:type="dxa" w:w="60"/>
            </w:tcMar>
          </w:tcPr>
          <w:p>
            <w:pPr>
              <w:jc w:val="center"/>
            </w:pPr>
            <w:r>
              <w:rPr>
                <w:rFonts w:ascii="Calibri" w:cs="Calibri" w:eastAsia="Calibri" w:hAnsi="Calibri"/>
                <w:color w:val="2C2433"/>
                <w:sz w:val="17"/>
                <w:szCs w:val="17"/>
              </w:rPr>
              <w:t xml:space="preserve">Cinza
#575756</w:t>
            </w:r>
          </w:p>
        </w:tc>
      </w:tr>
    </w:tbl>
    <w:p>
      <w:pPr>
        <w:spacing w:before="200"/>
      </w:pPr>
    </w:p>
    <w:p>
      <w:pPr>
        <w:pStyle w:val="Heading1"/>
        <w:spacing w:after="200" w:before="420"/>
      </w:pPr>
      <w:r>
        <w:rPr>
          <w:b/>
          <w:bCs/>
          <w:color w:val="543276"/>
        </w:rPr>
        <w:t xml:space="preserve">3. Paleta do produto (suavizada, tela)</w:t>
      </w:r>
    </w:p>
    <w:p>
      <w:pPr>
        <w:spacing w:after="160" w:line="300"/>
      </w:pPr>
      <w:r>
        <w:rPr>
          <w:rFonts w:ascii="Calibri" w:cs="Calibri" w:eastAsia="Calibri" w:hAnsi="Calibri"/>
          <w:color w:val="2C2433"/>
          <w:sz w:val="22"/>
          <w:szCs w:val="22"/>
        </w:rPr>
        <w:t xml:space="preserve">Cada token abaixo foi derivado do matiz (hue) da cor FESF correspondente, com saturação reduzida e luminosidade ajustada para funcionar como texto, botão ou fundo sem cansar a vista em uso prolongado. Todos os pares texto/fundo abaixo foram checados e passam WCAG AA (contraste mínimo 4,5:1 para texto normal).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50"/>
      </w:tblGrid>
      <w:tr>
        <w:trPr>
          <w:tblHeader/>
        </w:trPr>
        <w:tc>
          <w:tcPr>
            <w:tcW w:type="dxa" w:w="2200"/>
            <w:shd w:fill="EEEAF0" w:val="clear"/>
            <w:tcMar>
              <w:top w:type="dxa" w:w="100"/>
              <w:left w:type="dxa" w:w="120"/>
              <w:bottom w:type="dxa" w:w="100"/>
              <w:right w:type="dxa" w:w="120"/>
            </w:tcMar>
          </w:tcPr>
          <w:p>
            <w:r>
              <w:rPr>
                <w:rFonts w:ascii="Calibri" w:cs="Calibri" w:eastAsia="Calibri" w:hAnsi="Calibri"/>
                <w:b/>
                <w:bCs/>
                <w:color w:val="2C2433"/>
                <w:sz w:val="19"/>
                <w:szCs w:val="19"/>
              </w:rPr>
              <w:t xml:space="preserve">Token</w:t>
            </w:r>
          </w:p>
        </w:tc>
        <w:tc>
          <w:tcPr>
            <w:tcW w:type="dxa" w:w="1600"/>
            <w:shd w:fill="EEEAF0" w:val="clear"/>
            <w:tcMar>
              <w:top w:type="dxa" w:w="100"/>
              <w:left w:type="dxa" w:w="120"/>
              <w:bottom w:type="dxa" w:w="100"/>
              <w:right w:type="dxa" w:w="120"/>
            </w:tcMar>
          </w:tcPr>
          <w:p>
            <w:r>
              <w:rPr>
                <w:rFonts w:ascii="Calibri" w:cs="Calibri" w:eastAsia="Calibri" w:hAnsi="Calibri"/>
                <w:b/>
                <w:bCs/>
                <w:color w:val="2C2433"/>
                <w:sz w:val="19"/>
                <w:szCs w:val="19"/>
              </w:rPr>
              <w:t xml:space="preserve">Claro</w:t>
            </w:r>
          </w:p>
        </w:tc>
        <w:tc>
          <w:tcPr>
            <w:tcW w:type="dxa" w:w="1600"/>
            <w:shd w:fill="EEEAF0" w:val="clear"/>
            <w:tcMar>
              <w:top w:type="dxa" w:w="100"/>
              <w:left w:type="dxa" w:w="120"/>
              <w:bottom w:type="dxa" w:w="100"/>
              <w:right w:type="dxa" w:w="120"/>
            </w:tcMar>
          </w:tcPr>
          <w:p>
            <w:r>
              <w:rPr>
                <w:rFonts w:ascii="Calibri" w:cs="Calibri" w:eastAsia="Calibri" w:hAnsi="Calibri"/>
                <w:b/>
                <w:bCs/>
                <w:color w:val="2C2433"/>
                <w:sz w:val="19"/>
                <w:szCs w:val="19"/>
              </w:rPr>
              <w:t xml:space="preserve">Escuro</w:t>
            </w:r>
          </w:p>
        </w:tc>
        <w:tc>
          <w:tcPr>
            <w:tcW w:type="dxa" w:w="3950"/>
            <w:shd w:fill="EEEAF0" w:val="clear"/>
            <w:tcMar>
              <w:top w:type="dxa" w:w="100"/>
              <w:left w:type="dxa" w:w="120"/>
              <w:bottom w:type="dxa" w:w="100"/>
              <w:right w:type="dxa" w:w="120"/>
            </w:tcMar>
          </w:tcPr>
          <w:p>
            <w:r>
              <w:rPr>
                <w:rFonts w:ascii="Calibri" w:cs="Calibri" w:eastAsia="Calibri" w:hAnsi="Calibri"/>
                <w:b/>
                <w:bCs/>
                <w:color w:val="2C2433"/>
                <w:sz w:val="19"/>
                <w:szCs w:val="19"/>
              </w:rPr>
              <w:t xml:space="preserve">Uso</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--bg</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#f7f4f8</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#17121c</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Fundo geral da aplicação</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--surface</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#ffffff</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#221c26</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Cards, painéis, inputs</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--ink</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#2c2433</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#ece7ef</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Texto principal</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--muted</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#73687d</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#a9a0b1</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Texto secundário, legendas</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--accent</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#754f9c</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#b897d8</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Botão primário, foco, links, aba ativa</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--accent-strong</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#543276</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#d1bae8</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Hover do botão primário</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--ok</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#397463</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#80c6b2</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Status positivo, saldo ok, aprovado</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--warn</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#886220</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#dab981</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Alerta, pendência, vencimento próximo</w:t>
            </w:r>
          </w:p>
        </w:tc>
      </w:tr>
      <w:tr>
        <w:tc>
          <w:tcPr>
            <w:tcW w:type="dxa" w:w="2200"/>
            <w:tcMar>
              <w:top w:type="dxa" w:w="90"/>
              <w:left w:type="dxa" w:w="120"/>
              <w:bottom w:type="dxa" w:w="90"/>
              <w:right w:type="dxa" w:w="120"/>
            </w:tcMar>
          </w:tcPr>
          <w:p>
            <w:r>
              <w:rPr>
                <w:rFonts w:ascii="Calibri" w:cs="Calibri" w:eastAsia="Calibri" w:hAnsi="Calibri"/>
                <w:color w:val="2C2433"/>
                <w:sz w:val="19"/>
                <w:szCs w:val="19"/>
              </w:rPr>
              <w:t xml:space="preserve">--danger</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#96404f</w:t>
            </w:r>
          </w:p>
        </w:tc>
        <w:tc>
          <w:tcPr>
            <w:tcW w:type="dxa" w:w="1600"/>
            <w:tcMar>
              <w:top w:type="dxa" w:w="90"/>
              <w:left w:type="dxa" w:w="120"/>
              <w:bottom w:type="dxa" w:w="90"/>
              <w:right w:type="dxa" w:w="120"/>
            </w:tcMar>
          </w:tcPr>
          <w:p>
            <w:r>
              <w:rPr>
                <w:rFonts w:ascii="Calibri" w:cs="Calibri" w:eastAsia="Calibri" w:hAnsi="Calibri"/>
                <w:color w:val="2C2433"/>
                <w:sz w:val="19"/>
                <w:szCs w:val="19"/>
              </w:rPr>
              <w:t xml:space="preserve">#dd9da7</w:t>
            </w:r>
          </w:p>
        </w:tc>
        <w:tc>
          <w:tcPr>
            <w:tcW w:type="dxa" w:w="3950"/>
            <w:tcMar>
              <w:top w:type="dxa" w:w="90"/>
              <w:left w:type="dxa" w:w="120"/>
              <w:bottom w:type="dxa" w:w="90"/>
              <w:right w:type="dxa" w:w="120"/>
            </w:tcMar>
          </w:tcPr>
          <w:p>
            <w:r>
              <w:rPr>
                <w:rFonts w:ascii="Calibri" w:cs="Calibri" w:eastAsia="Calibri" w:hAnsi="Calibri"/>
                <w:color w:val="2C2433"/>
                <w:sz w:val="19"/>
                <w:szCs w:val="19"/>
              </w:rPr>
              <w:t xml:space="preserve">Erro, saldo negativo, rejeição</w:t>
            </w:r>
          </w:p>
        </w:tc>
      </w:tr>
    </w:tbl>
    <w:p/>
    <w:p>
      <w:pPr>
        <w:spacing w:after="200" w:line="300"/>
      </w:pPr>
      <w:r>
        <w:rPr>
          <w:rFonts w:ascii="Calibri" w:cs="Calibri" w:eastAsia="Calibri" w:hAnsi="Calibri"/>
          <w:i/>
          <w:iCs/>
          <w:color w:val="73687D"/>
          <w:sz w:val="20"/>
          <w:szCs w:val="20"/>
        </w:rPr>
        <w:t xml:space="preserve">Nota sobre âmbar e terracota: a paleta oficial da FESF não tem uma cor de alerta (amarelo/laranja) nem uma cor de erro (vermelho) — as cinco cores do manual são todas do campo roxo/verde. Semáforo de status (atenção/erro) precisa de cores que o olho reconheça como tal independentemente de contexto cultural, então mantivemos âmbar e terracota como no protótipo anterior, só ajustando a luminosidade para bater com o resto da paleta pastel. Isso é uma decisão deliberada: cor de alerta e cor de marca cumprem papéis diferentes, e forçar um roxo institucional a significar "erro" seria confuso.</w:t>
      </w:r>
    </w:p>
    <w:p>
      <w:pPr>
        <w:pStyle w:val="Heading1"/>
        <w:spacing w:after="200" w:before="420"/>
      </w:pPr>
      <w:r>
        <w:rPr>
          <w:b/>
          <w:bCs/>
          <w:color w:val="543276"/>
        </w:rPr>
        <w:t xml:space="preserve">4. Cor por unidade (rail de contexto)</w:t>
      </w:r>
    </w:p>
    <w:p>
      <w:pPr>
        <w:spacing w:after="160" w:line="300"/>
      </w:pPr>
      <w:r>
        <w:rPr>
          <w:rFonts w:ascii="Calibri" w:cs="Calibri" w:eastAsia="Calibri" w:hAnsi="Calibri"/>
          <w:color w:val="2C2433"/>
          <w:sz w:val="22"/>
          <w:szCs w:val="22"/>
        </w:rPr>
        <w:t xml:space="preserve">O hospital opera quatro unidades — CAF, UTI, Centro Cirúrgico e Emergência — e o usuário troca de unidade ativa sem trocar de conta. Como a régua de marca da FESF já tem exatamente quatro cores, cada unidade herda uma delas, suavizada, como cor de identificação, aplicada numa borda esquerda de 3px em cards e no badge de unidade ativa da barra lateral.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rPr>
          <w:tblHeader/>
        </w:trPr>
        <w:tc>
          <w:tcPr>
            <w:tcW w:type="dxa" w:w="2000"/>
            <w:shd w:fill="EEEAF0" w:val="clear"/>
          </w:tcPr>
          <w:p>
            <w:pPr>
              <w:spacing w:after="160" w:line="300"/>
            </w:pPr>
            <w:r>
              <w:rPr>
                <w:rFonts w:ascii="Calibri" w:cs="Calibri" w:eastAsia="Calibri" w:hAnsi="Calibri"/>
                <w:b/>
                <w:bCs/>
                <w:color w:val="2C2433"/>
                <w:sz w:val="22"/>
                <w:szCs w:val="22"/>
              </w:rPr>
              <w:t xml:space="preserve">Unidade</w:t>
            </w:r>
          </w:p>
        </w:tc>
        <w:tc>
          <w:tcPr>
            <w:tcW w:type="dxa" w:w="2000"/>
            <w:shd w:fill="EEEAF0" w:val="clear"/>
          </w:tcPr>
          <w:p>
            <w:pPr>
              <w:spacing w:after="160" w:line="300"/>
            </w:pPr>
            <w:r>
              <w:rPr>
                <w:rFonts w:ascii="Calibri" w:cs="Calibri" w:eastAsia="Calibri" w:hAnsi="Calibri"/>
                <w:b/>
                <w:bCs/>
                <w:color w:val="2C2433"/>
                <w:sz w:val="22"/>
                <w:szCs w:val="22"/>
              </w:rPr>
              <w:t xml:space="preserve">Cor</w:t>
            </w:r>
          </w:p>
        </w:tc>
        <w:tc>
          <w:tcPr>
            <w:tcW w:type="dxa" w:w="5350"/>
            <w:shd w:fill="EEEAF0" w:val="clear"/>
          </w:tcPr>
          <w:p>
            <w:pPr>
              <w:spacing w:after="160" w:line="300"/>
            </w:pPr>
            <w:r>
              <w:rPr>
                <w:rFonts w:ascii="Calibri" w:cs="Calibri" w:eastAsia="Calibri" w:hAnsi="Calibri"/>
                <w:b/>
                <w:bCs/>
                <w:color w:val="2C2433"/>
                <w:sz w:val="22"/>
                <w:szCs w:val="22"/>
              </w:rPr>
              <w:t xml:space="preserve">Origem</w:t>
            </w:r>
          </w:p>
        </w:tc>
      </w:tr>
      <w:tr>
        <w:tc>
          <w:tcPr>
            <w:tcW w:type="dxa" w:w="2000"/>
          </w:tcPr>
          <w:p>
            <w:pPr>
              <w:spacing w:after="160" w:line="300"/>
            </w:pPr>
            <w:r>
              <w:rPr>
                <w:rFonts w:ascii="Calibri" w:cs="Calibri" w:eastAsia="Calibri" w:hAnsi="Calibri"/>
                <w:color w:val="2C2433"/>
                <w:sz w:val="22"/>
                <w:szCs w:val="22"/>
              </w:rPr>
              <w:t xml:space="preserve">CAF</w:t>
            </w:r>
          </w:p>
        </w:tc>
        <w:tc>
          <w:tcPr>
            <w:tcW w:type="dxa" w:w="2000"/>
            <w:shd w:fill="754F9C"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#754f9c</w:t>
            </w:r>
          </w:p>
        </w:tc>
        <w:tc>
          <w:tcPr>
            <w:tcW w:type="dxa" w:w="5350"/>
          </w:tcPr>
          <w:p>
            <w:pPr>
              <w:spacing w:after="160" w:line="300"/>
            </w:pPr>
            <w:r>
              <w:rPr>
                <w:rFonts w:ascii="Calibri" w:cs="Calibri" w:eastAsia="Calibri" w:hAnsi="Calibri"/>
                <w:color w:val="2C2433"/>
                <w:sz w:val="22"/>
                <w:szCs w:val="22"/>
              </w:rPr>
              <w:t xml:space="preserve">Roxo (mesmo tom do accent — é a unidade de origem de tudo)</w:t>
            </w:r>
          </w:p>
        </w:tc>
      </w:tr>
      <w:tr>
        <w:tc>
          <w:tcPr>
            <w:tcW w:type="dxa" w:w="2000"/>
          </w:tcPr>
          <w:p>
            <w:pPr>
              <w:spacing w:after="160" w:line="300"/>
            </w:pPr>
            <w:r>
              <w:rPr>
                <w:rFonts w:ascii="Calibri" w:cs="Calibri" w:eastAsia="Calibri" w:hAnsi="Calibri"/>
                <w:color w:val="2C2433"/>
                <w:sz w:val="22"/>
                <w:szCs w:val="22"/>
              </w:rPr>
              <w:t xml:space="preserve">UTI</w:t>
            </w:r>
          </w:p>
        </w:tc>
        <w:tc>
          <w:tcPr>
            <w:tcW w:type="dxa" w:w="2000"/>
            <w:shd w:fill="6D6AAF"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#6d6aaf</w:t>
            </w:r>
          </w:p>
        </w:tc>
        <w:tc>
          <w:tcPr>
            <w:tcW w:type="dxa" w:w="5350"/>
          </w:tcPr>
          <w:p>
            <w:pPr>
              <w:spacing w:after="160" w:line="300"/>
            </w:pPr>
            <w:r>
              <w:rPr>
                <w:rFonts w:ascii="Calibri" w:cs="Calibri" w:eastAsia="Calibri" w:hAnsi="Calibri"/>
                <w:color w:val="2C2433"/>
                <w:sz w:val="22"/>
                <w:szCs w:val="22"/>
              </w:rPr>
              <w:t xml:space="preserve">Lis / lavanda</w:t>
            </w:r>
          </w:p>
        </w:tc>
      </w:tr>
      <w:tr>
        <w:tc>
          <w:tcPr>
            <w:tcW w:type="dxa" w:w="2000"/>
          </w:tcPr>
          <w:p>
            <w:pPr>
              <w:spacing w:after="160" w:line="300"/>
            </w:pPr>
            <w:r>
              <w:rPr>
                <w:rFonts w:ascii="Calibri" w:cs="Calibri" w:eastAsia="Calibri" w:hAnsi="Calibri"/>
                <w:color w:val="2C2433"/>
                <w:sz w:val="22"/>
                <w:szCs w:val="22"/>
              </w:rPr>
              <w:t xml:space="preserve">Centro Cirúrgico</w:t>
            </w:r>
          </w:p>
        </w:tc>
        <w:tc>
          <w:tcPr>
            <w:tcW w:type="dxa" w:w="2000"/>
            <w:shd w:fill="3B9184"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#3b9184</w:t>
            </w:r>
          </w:p>
        </w:tc>
        <w:tc>
          <w:tcPr>
            <w:tcW w:type="dxa" w:w="5350"/>
          </w:tcPr>
          <w:p>
            <w:pPr>
              <w:spacing w:after="160" w:line="300"/>
            </w:pPr>
            <w:r>
              <w:rPr>
                <w:rFonts w:ascii="Calibri" w:cs="Calibri" w:eastAsia="Calibri" w:hAnsi="Calibri"/>
                <w:color w:val="2C2433"/>
                <w:sz w:val="22"/>
                <w:szCs w:val="22"/>
              </w:rPr>
              <w:t xml:space="preserve">Verde-água</w:t>
            </w:r>
          </w:p>
        </w:tc>
      </w:tr>
      <w:tr>
        <w:tc>
          <w:tcPr>
            <w:tcW w:type="dxa" w:w="2000"/>
          </w:tcPr>
          <w:p>
            <w:pPr>
              <w:spacing w:after="160" w:line="300"/>
            </w:pPr>
            <w:r>
              <w:rPr>
                <w:rFonts w:ascii="Calibri" w:cs="Calibri" w:eastAsia="Calibri" w:hAnsi="Calibri"/>
                <w:color w:val="2C2433"/>
                <w:sz w:val="22"/>
                <w:szCs w:val="22"/>
              </w:rPr>
              <w:t xml:space="preserve">Emergência</w:t>
            </w:r>
          </w:p>
        </w:tc>
        <w:tc>
          <w:tcPr>
            <w:tcW w:type="dxa" w:w="2000"/>
            <w:shd w:fill="389468" w:val="clear"/>
            <w:tcMar>
              <w:top w:type="dxa" w:w="160"/>
              <w:left w:type="dxa" w:w="100"/>
              <w:bottom w:type="dxa" w:w="160"/>
              <w:right w:type="dxa" w:w="100"/>
            </w:tcMar>
            <w:vAlign w:val="center"/>
          </w:tcPr>
          <w:p>
            <w:pPr>
              <w:jc w:val="center"/>
            </w:pPr>
            <w:r>
              <w:rPr>
                <w:rFonts w:ascii="Calibri" w:cs="Calibri" w:eastAsia="Calibri" w:hAnsi="Calibri"/>
                <w:b/>
                <w:bCs/>
                <w:color w:val="FFFFFF"/>
                <w:sz w:val="18"/>
                <w:szCs w:val="18"/>
              </w:rPr>
              <w:t xml:space="preserve">#389468</w:t>
            </w:r>
          </w:p>
        </w:tc>
        <w:tc>
          <w:tcPr>
            <w:tcW w:type="dxa" w:w="5350"/>
          </w:tcPr>
          <w:p>
            <w:pPr>
              <w:spacing w:after="160" w:line="300"/>
            </w:pPr>
            <w:r>
              <w:rPr>
                <w:rFonts w:ascii="Calibri" w:cs="Calibri" w:eastAsia="Calibri" w:hAnsi="Calibri"/>
                <w:color w:val="2C2433"/>
                <w:sz w:val="22"/>
                <w:szCs w:val="22"/>
              </w:rPr>
              <w:t xml:space="preserve">Menta</w:t>
            </w:r>
          </w:p>
        </w:tc>
      </w:tr>
    </w:tbl>
    <w:p/>
    <w:p>
      <w:pPr>
        <w:spacing w:after="160" w:line="300"/>
      </w:pPr>
      <w:r>
        <w:rPr>
          <w:rFonts w:ascii="Calibri" w:cs="Calibri" w:eastAsia="Calibri" w:hAnsi="Calibri"/>
          <w:b/>
          <w:bCs/>
          <w:color w:val="2C2433"/>
          <w:sz w:val="22"/>
          <w:szCs w:val="22"/>
        </w:rPr>
        <w:t xml:space="preserve">Importante: </w:t>
      </w:r>
      <w:r>
        <w:rPr>
          <w:rFonts w:ascii="Calibri" w:cs="Calibri" w:eastAsia="Calibri" w:hAnsi="Calibri"/>
          <w:color w:val="2C2433"/>
          <w:sz w:val="22"/>
          <w:szCs w:val="22"/>
        </w:rPr>
        <w:t xml:space="preserve">a cor nunca é a única pista. Cada rail vem sempre acompanhado do nome da unidade por extenso — ninguém deve precisar decorar "verde-água = Centro Cirúrgico" para operar o sistema. Isso é tanto uma regra de acessibilidade (não depender só de cor) quanto uma regra de bom senso operacional: às 3h da manhã, texto lido é mais confiável que matiz reconhecido.</w:t>
      </w:r>
    </w:p>
    <w:p>
      <w:pPr>
        <w:spacing w:after="160" w:line="300"/>
      </w:pPr>
      <w:r>
        <w:rPr>
          <w:rFonts w:ascii="Calibri" w:cs="Calibri" w:eastAsia="Calibri" w:hAnsi="Calibri"/>
          <w:color w:val="2C2433"/>
          <w:sz w:val="22"/>
          <w:szCs w:val="22"/>
        </w:rPr>
        <w:t xml:space="preserve">As classes CSS já existem em frontend/src/index.css (.rail-caf, .rail-uti, .rail-cc, .rail-emerg); aplicá-las nas telas que exibem a unidade ativa fica como próximo passo de implementação.</w:t>
      </w:r>
    </w:p>
    <w:p>
      <w:pPr>
        <w:pStyle w:val="Heading1"/>
        <w:spacing w:after="200" w:before="420"/>
      </w:pPr>
      <w:r>
        <w:rPr>
          <w:b/>
          <w:bCs/>
          <w:color w:val="543276"/>
        </w:rPr>
        <w:t xml:space="preserve">5. Tipografia</w:t>
      </w:r>
    </w:p>
    <w:p>
      <w:pPr>
        <w:spacing w:after="160" w:line="300"/>
      </w:pPr>
      <w:r>
        <w:rPr>
          <w:rFonts w:ascii="Calibri" w:cs="Calibri" w:eastAsia="Calibri" w:hAnsi="Calibri"/>
          <w:color w:val="2C2433"/>
          <w:sz w:val="22"/>
          <w:szCs w:val="22"/>
        </w:rPr>
        <w:t xml:space="preserve">O manual FESFSUS define duas fontes com papéis diferentes, que o sistema respeita:</w:t>
      </w:r>
    </w:p>
    <w:p>
      <w:pPr>
        <w:pStyle w:val="ListParagraph"/>
        <w:numPr>
          <w:ilvl w:val="0"/>
          <w:numId w:val="1"/>
        </w:numPr>
        <w:spacing w:after="100" w:line="290"/>
      </w:pPr>
      <w:r>
        <w:rPr>
          <w:rFonts w:ascii="Calibri" w:cs="Calibri" w:eastAsia="Calibri" w:hAnsi="Calibri"/>
          <w:b/>
          <w:bCs/>
          <w:color w:val="2C2433"/>
          <w:sz w:val="22"/>
          <w:szCs w:val="22"/>
        </w:rPr>
        <w:t xml:space="preserve">Arimo</w:t>
      </w:r>
      <w:r>
        <w:rPr>
          <w:rFonts w:ascii="Calibri" w:cs="Calibri" w:eastAsia="Calibri" w:hAnsi="Calibri"/>
          <w:color w:val="2C2433"/>
          <w:sz w:val="22"/>
          <w:szCs w:val="22"/>
        </w:rPr>
        <w:t xml:space="preserve"> — sans serif metricamente compatível com Arial, é a fonte de trabalho de todo o produto: formulários, tabelas, botões, texto de relatório. Neutra, legível em tamanho pequeno, sem chamar atenção para si mesma.</w:t>
      </w:r>
    </w:p>
    <w:p>
      <w:pPr>
        <w:pStyle w:val="ListParagraph"/>
        <w:numPr>
          <w:ilvl w:val="0"/>
          <w:numId w:val="1"/>
        </w:numPr>
        <w:spacing w:after="100" w:line="290"/>
      </w:pPr>
      <w:r>
        <w:rPr>
          <w:rFonts w:ascii="Calibri" w:cs="Calibri" w:eastAsia="Calibri" w:hAnsi="Calibri"/>
          <w:b/>
          <w:bCs/>
          <w:color w:val="2C2433"/>
          <w:sz w:val="22"/>
          <w:szCs w:val="22"/>
        </w:rPr>
        <w:t xml:space="preserve">De Rotterdam</w:t>
      </w:r>
      <w:r>
        <w:rPr>
          <w:rFonts w:ascii="Calibri" w:cs="Calibri" w:eastAsia="Calibri" w:hAnsi="Calibri"/>
          <w:color w:val="2C2433"/>
          <w:sz w:val="22"/>
          <w:szCs w:val="22"/>
        </w:rPr>
        <w:t xml:space="preserve"> — fonte display arredondada da marca, reservada ao logotipo FESFSUS (que é vetor) e, no máximo, ao nome do sistema na tela de login. Nunca em corpo de texto, tabela ou formulário.</w:t>
      </w:r>
    </w:p>
    <w:p>
      <w:pPr>
        <w:spacing w:after="200" w:line="300"/>
      </w:pPr>
      <w:r>
        <w:rPr>
          <w:rFonts w:ascii="Calibri" w:cs="Calibri" w:eastAsia="Calibri" w:hAnsi="Calibri"/>
          <w:i/>
          <w:iCs/>
          <w:color w:val="73687D"/>
          <w:sz w:val="20"/>
          <w:szCs w:val="20"/>
        </w:rPr>
        <w:t xml:space="preserve">Nota de implementação: nem Arimo nem De Rotterdam estão embutidas no build hoje — o CSS usa a pilha de fontes do sistema operacional como fallback. Arimo é gratuita (Google Fonts) e pode ser adicionada sem custo. De Rotterdam é a fonte licenciada da FESF — precisa do arquivo cedido pela ASCOM para uso real.</w:t>
      </w:r>
    </w:p>
    <w:p>
      <w:pPr>
        <w:pStyle w:val="Heading1"/>
        <w:spacing w:after="200" w:before="420"/>
      </w:pPr>
      <w:r>
        <w:rPr>
          <w:b/>
          <w:bCs/>
          <w:color w:val="543276"/>
        </w:rPr>
        <w:t xml:space="preserve">6. Voz e tom</w:t>
      </w:r>
    </w:p>
    <w:p>
      <w:pPr>
        <w:spacing w:after="160" w:line="300"/>
      </w:pPr>
      <w:r>
        <w:rPr>
          <w:rFonts w:ascii="Calibri" w:cs="Calibri" w:eastAsia="Calibri" w:hAnsi="Calibri"/>
          <w:color w:val="2C2433"/>
          <w:sz w:val="22"/>
          <w:szCs w:val="22"/>
        </w:rPr>
        <w:t xml:space="preserve">O sistema fala com quem trabalha em turno, muitas vezes cansado, muitas vezes sob pressão. Mensagens de erro dizem o que aconteceu e o que fazer a respeito, sem eufemismo nem alarme — "Saldo insuficiente: restam 40 unidades deste lote", não "Ops! Algo deu errado". Confirmações são diretas — "Lote registrado", não "Sucesso! Sua ação foi processada com êxito". Nada de ponto de exclamação decorativo, nada de emoji na interface. Rótulos de campo são substantivos claros, não perguntas nem frases longas.</w:t>
      </w:r>
    </w:p>
    <w:p>
      <w:pPr>
        <w:pStyle w:val="Heading1"/>
        <w:spacing w:after="200" w:before="420"/>
      </w:pPr>
      <w:r>
        <w:rPr>
          <w:b/>
          <w:bCs/>
          <w:color w:val="543276"/>
        </w:rPr>
        <w:t xml:space="preserve">7. Componentes principais</w:t>
      </w:r>
    </w:p>
    <w:p>
      <w:pPr>
        <w:pStyle w:val="ListParagraph"/>
        <w:numPr>
          <w:ilvl w:val="0"/>
          <w:numId w:val="1"/>
        </w:numPr>
        <w:spacing w:after="100" w:line="290"/>
      </w:pPr>
      <w:r>
        <w:rPr>
          <w:rFonts w:ascii="Calibri" w:cs="Calibri" w:eastAsia="Calibri" w:hAnsi="Calibri"/>
          <w:b/>
          <w:bCs/>
          <w:color w:val="2C2433"/>
          <w:sz w:val="22"/>
          <w:szCs w:val="22"/>
        </w:rPr>
        <w:t xml:space="preserve">Botão primário</w:t>
      </w:r>
      <w:r>
        <w:rPr>
          <w:rFonts w:ascii="Calibri" w:cs="Calibri" w:eastAsia="Calibri" w:hAnsi="Calibri"/>
          <w:color w:val="2C2433"/>
          <w:sz w:val="22"/>
          <w:szCs w:val="22"/>
        </w:rPr>
        <w:t xml:space="preserve"> — fundo accent, hover accent-strong. Usado uma vez por tela: a ação principal daquele formulário. Ações secundárias usam contorno (ghost); ações destrutivas usam contorno vermelho, nunca preenchido.</w:t>
      </w:r>
    </w:p>
    <w:p>
      <w:pPr>
        <w:pStyle w:val="ListParagraph"/>
        <w:numPr>
          <w:ilvl w:val="0"/>
          <w:numId w:val="1"/>
        </w:numPr>
        <w:spacing w:after="100" w:line="290"/>
      </w:pPr>
      <w:r>
        <w:rPr>
          <w:rFonts w:ascii="Calibri" w:cs="Calibri" w:eastAsia="Calibri" w:hAnsi="Calibri"/>
          <w:b/>
          <w:bCs/>
          <w:color w:val="2C2433"/>
          <w:sz w:val="22"/>
          <w:szCs w:val="22"/>
        </w:rPr>
        <w:t xml:space="preserve">Pill de status</w:t>
      </w:r>
      <w:r>
        <w:rPr>
          <w:rFonts w:ascii="Calibri" w:cs="Calibri" w:eastAsia="Calibri" w:hAnsi="Calibri"/>
          <w:color w:val="2C2433"/>
          <w:sz w:val="22"/>
          <w:szCs w:val="22"/>
        </w:rPr>
        <w:t xml:space="preserve"> — ponto colorido + texto, nunca só a cor. Variantes: pendente (âmbar), ok (verde-água), erro (terracota), neutro (cinza).</w:t>
      </w:r>
    </w:p>
    <w:p>
      <w:pPr>
        <w:pStyle w:val="ListParagraph"/>
        <w:numPr>
          <w:ilvl w:val="0"/>
          <w:numId w:val="1"/>
        </w:numPr>
        <w:spacing w:after="100" w:line="290"/>
      </w:pPr>
      <w:r>
        <w:rPr>
          <w:rFonts w:ascii="Calibri" w:cs="Calibri" w:eastAsia="Calibri" w:hAnsi="Calibri"/>
          <w:b/>
          <w:bCs/>
          <w:color w:val="2C2433"/>
          <w:sz w:val="22"/>
          <w:szCs w:val="22"/>
        </w:rPr>
        <w:t xml:space="preserve">Painel/card</w:t>
      </w:r>
      <w:r>
        <w:rPr>
          <w:rFonts w:ascii="Calibri" w:cs="Calibri" w:eastAsia="Calibri" w:hAnsi="Calibri"/>
          <w:color w:val="2C2433"/>
          <w:sz w:val="22"/>
          <w:szCs w:val="22"/>
        </w:rPr>
        <w:t xml:space="preserve"> — fundo branco, borda 1px, sombra discreta de 1 a 3px. Nunca sombra pesada ou flutuante: o sistema é denso e usado de perto, não uma vitrine.</w:t>
      </w:r>
    </w:p>
    <w:p>
      <w:pPr>
        <w:pStyle w:val="ListParagraph"/>
        <w:numPr>
          <w:ilvl w:val="0"/>
          <w:numId w:val="1"/>
        </w:numPr>
        <w:spacing w:after="100" w:line="290"/>
      </w:pPr>
      <w:r>
        <w:rPr>
          <w:rFonts w:ascii="Calibri" w:cs="Calibri" w:eastAsia="Calibri" w:hAnsi="Calibri"/>
          <w:b/>
          <w:bCs/>
          <w:color w:val="2C2433"/>
          <w:sz w:val="22"/>
          <w:szCs w:val="22"/>
        </w:rPr>
        <w:t xml:space="preserve">Tabela</w:t>
      </w:r>
      <w:r>
        <w:rPr>
          <w:rFonts w:ascii="Calibri" w:cs="Calibri" w:eastAsia="Calibri" w:hAnsi="Calibri"/>
          <w:color w:val="2C2433"/>
          <w:sz w:val="22"/>
          <w:szCs w:val="22"/>
        </w:rPr>
        <w:t xml:space="preserve"> — cabeçalho em versalete pequeno cinza, linhas com hover sutil, números alinhados à direita com fonte tabular.</w:t>
      </w:r>
    </w:p>
    <w:p>
      <w:pPr>
        <w:pStyle w:val="ListParagraph"/>
        <w:numPr>
          <w:ilvl w:val="0"/>
          <w:numId w:val="1"/>
        </w:numPr>
        <w:spacing w:after="100" w:line="290"/>
      </w:pPr>
      <w:r>
        <w:rPr>
          <w:rFonts w:ascii="Calibri" w:cs="Calibri" w:eastAsia="Calibri" w:hAnsi="Calibri"/>
          <w:b/>
          <w:bCs/>
          <w:color w:val="2C2433"/>
          <w:sz w:val="22"/>
          <w:szCs w:val="22"/>
        </w:rPr>
        <w:t xml:space="preserve">Alerta</w:t>
      </w:r>
      <w:r>
        <w:rPr>
          <w:rFonts w:ascii="Calibri" w:cs="Calibri" w:eastAsia="Calibri" w:hAnsi="Calibri"/>
          <w:color w:val="2C2433"/>
          <w:sz w:val="22"/>
          <w:szCs w:val="22"/>
        </w:rPr>
        <w:t xml:space="preserve"> — cor de fundo suave da própria paleta, nunca vermelho ou verde saturado ocupando a tela inteira.</w:t>
      </w:r>
    </w:p>
    <w:p>
      <w:pPr>
        <w:pStyle w:val="Heading1"/>
        <w:spacing w:after="200" w:before="420"/>
      </w:pPr>
      <w:r>
        <w:rPr>
          <w:b/>
          <w:bCs/>
          <w:color w:val="543276"/>
        </w:rPr>
        <w:t xml:space="preserve">8. A régua de assinatura institucional</w:t>
      </w:r>
    </w:p>
    <w:p>
      <w:pPr>
        <w:spacing w:after="160" w:line="300"/>
      </w:pPr>
      <w:r>
        <w:rPr>
          <w:rFonts w:ascii="Calibri" w:cs="Calibri" w:eastAsia="Calibri" w:hAnsi="Calibri"/>
          <w:color w:val="2C2433"/>
          <w:sz w:val="22"/>
          <w:szCs w:val="22"/>
        </w:rPr>
        <w:t xml:space="preserve">O manual de marca define uma ordem hierárquica fixa para quando a marca da FESF aparece ao lado de outras marcas:</w:t>
      </w:r>
    </w:p>
    <w:p>
      <w:pPr>
        <w:spacing w:after="200" w:before="120"/>
        <w:jc w:val="center"/>
      </w:pPr>
      <w:r>
        <w:rPr>
          <w:rFonts w:ascii="Calibri" w:cs="Calibri" w:eastAsia="Calibri" w:hAnsi="Calibri"/>
          <w:b/>
          <w:bCs/>
          <w:color w:val="543276"/>
          <w:sz w:val="24"/>
          <w:szCs w:val="24"/>
        </w:rPr>
        <w:t xml:space="preserve">Serviço  →  FESF  →  SUS  →  Governo do Estado</w:t>
      </w:r>
    </w:p>
    <w:p>
      <w:pPr>
        <w:spacing w:after="160" w:line="300"/>
      </w:pPr>
      <w:r>
        <w:rPr>
          <w:rFonts w:ascii="Calibri" w:cs="Calibri" w:eastAsia="Calibri" w:hAnsi="Calibri"/>
          <w:color w:val="2C2433"/>
          <w:sz w:val="22"/>
          <w:szCs w:val="22"/>
        </w:rPr>
        <w:t xml:space="preserve">No caso deste hospital, o exemplo já vem pronto no próprio manual: </w:t>
      </w:r>
      <w:r>
        <w:rPr>
          <w:rFonts w:ascii="Calibri" w:cs="Calibri" w:eastAsia="Calibri" w:hAnsi="Calibri"/>
          <w:b/>
          <w:bCs/>
          <w:color w:val="2C2433"/>
          <w:sz w:val="22"/>
          <w:szCs w:val="22"/>
        </w:rPr>
        <w:t xml:space="preserve">Hospital Materno-Infantil Dr. Joaquim Sampaio · FESFSUS · SUS · Governo do Estado (Bahia)</w:t>
      </w:r>
      <w:r>
        <w:rPr>
          <w:rFonts w:ascii="Calibri" w:cs="Calibri" w:eastAsia="Calibri" w:hAnsi="Calibri"/>
          <w:color w:val="2C2433"/>
          <w:sz w:val="22"/>
          <w:szCs w:val="22"/>
        </w:rPr>
        <w:t xml:space="preserve">. Essa é a ordem que deve aparecer no cabeçalho de todo relatório exportado (PDF/Excel).</w:t>
      </w:r>
    </w:p>
    <w:p>
      <w:pPr>
        <w:spacing w:after="160" w:line="300"/>
      </w:pPr>
      <w:r>
        <w:rPr>
          <w:rFonts w:ascii="Calibri" w:cs="Calibri" w:eastAsia="Calibri" w:hAnsi="Calibri"/>
          <w:color w:val="2C2433"/>
          <w:sz w:val="22"/>
          <w:szCs w:val="22"/>
        </w:rPr>
        <w:t xml:space="preserve">Hoje o Letterhead.tsx mostra organização + hospital; a régua completa de 4 marcas (que inclui os logotipos do SUS e do Governo da Bahia, não só texto) depende de receber os arquivos desses logotipos — registrada como pendência, não implementada neste momento.</w:t>
      </w:r>
    </w:p>
    <w:p>
      <w:pPr>
        <w:pStyle w:val="Heading1"/>
        <w:spacing w:after="200" w:before="420"/>
      </w:pPr>
      <w:r>
        <w:rPr>
          <w:b/>
          <w:bCs/>
          <w:color w:val="543276"/>
        </w:rPr>
        <w:t xml:space="preserve">9. Modo escuro</w:t>
      </w:r>
    </w:p>
    <w:p>
      <w:pPr>
        <w:spacing w:after="160" w:line="300"/>
      </w:pPr>
      <w:r>
        <w:rPr>
          <w:rFonts w:ascii="Calibri" w:cs="Calibri" w:eastAsia="Calibri" w:hAnsi="Calibri"/>
          <w:color w:val="2C2433"/>
          <w:sz w:val="22"/>
          <w:szCs w:val="22"/>
        </w:rPr>
        <w:t xml:space="preserve">O sistema já responde a prefers-color-scheme: dark desde o protótipo original. Todos os tokens da seção 3 têm par claro/escuro. O roxo institucional da barra superior não muda no escuro — ele é marca, não tema.</w:t>
      </w:r>
    </w:p>
    <w:p>
      <w:pPr>
        <w:pStyle w:val="Heading1"/>
        <w:spacing w:after="200" w:before="420"/>
      </w:pPr>
      <w:r>
        <w:rPr>
          <w:b/>
          <w:bCs/>
          <w:color w:val="543276"/>
        </w:rPr>
        <w:t xml:space="preserve">10. Acessibilidade</w:t>
      </w:r>
    </w:p>
    <w:p>
      <w:pPr>
        <w:spacing w:after="160" w:line="300"/>
      </w:pPr>
      <w:r>
        <w:rPr>
          <w:rFonts w:ascii="Calibri" w:cs="Calibri" w:eastAsia="Calibri" w:hAnsi="Calibri"/>
          <w:color w:val="2C2433"/>
          <w:sz w:val="22"/>
          <w:szCs w:val="22"/>
        </w:rPr>
        <w:t xml:space="preserve">Todos os pares texto/fundo da seção 3 foram calculados e checados (WCAG 2.1, contraste mínimo 4,5:1 para texto normal). As cores de unidade são elementos gráficos informativos — usamos o mínimo de 3:1 do WCAG 1.4.11, reforçado com texto sempre visível ao lado. Alvo de toque mínimo de 36px já está nos botões e itens de navegação.</w:t>
      </w:r>
    </w:p>
    <w:p>
      <w:pPr>
        <w:pStyle w:val="Heading1"/>
        <w:spacing w:after="200" w:before="420"/>
      </w:pPr>
      <w:r>
        <w:rPr>
          <w:b/>
          <w:bCs/>
          <w:color w:val="543276"/>
        </w:rPr>
        <w:t xml:space="preserve">11. O que evitar</w:t>
      </w:r>
    </w:p>
    <w:p>
      <w:pPr>
        <w:spacing w:after="160" w:line="300"/>
      </w:pPr>
      <w:r>
        <w:rPr>
          <w:rFonts w:ascii="Calibri" w:cs="Calibri" w:eastAsia="Calibri" w:hAnsi="Calibri"/>
          <w:color w:val="2C2433"/>
          <w:sz w:val="22"/>
          <w:szCs w:val="22"/>
        </w:rPr>
        <w:t xml:space="preserve">Registrado desde o início do projeto: nada de botão gigante, fonte grande demais, sombra pesada ou gradiente chamativo. A isso adicionamos, nesta rodada: nada de ilustração genérica de "saúde digital" (mãos segurando cruzes vermelhas, engrenagens com estetoscópio); nada de gradiente arco-íris decorativo fora da régua de marca; nada de emoji na interface. O objetivo é um sistema que pareça ter sido desenhado por alguém que já trabalhou num balcão de farmácia hospitalar, não por um gerador de tela de dashboard.</w:t>
      </w:r>
    </w:p>
    <w:p>
      <w:pPr>
        <w:pStyle w:val="Heading1"/>
        <w:spacing w:after="200" w:before="420"/>
      </w:pPr>
      <w:r>
        <w:rPr>
          <w:b/>
          <w:bCs/>
          <w:color w:val="543276"/>
        </w:rPr>
        <w:t xml:space="preserve">12. Pendências</w:t>
      </w:r>
    </w:p>
    <w:p>
      <w:pPr>
        <w:pStyle w:val="ListParagraph"/>
        <w:numPr>
          <w:ilvl w:val="0"/>
          <w:numId w:val="1"/>
        </w:numPr>
        <w:spacing w:after="100" w:line="290"/>
      </w:pPr>
      <w:r>
        <w:rPr>
          <w:rFonts w:ascii="Calibri" w:cs="Calibri" w:eastAsia="Calibri" w:hAnsi="Calibri"/>
          <w:color w:val="2C2433"/>
          <w:sz w:val="22"/>
          <w:szCs w:val="22"/>
        </w:rPr>
        <w:t xml:space="preserve">Arquivo da fonte De Rotterdam (licenciado FESF) — solicitar à ASCOM.</w:t>
      </w:r>
    </w:p>
    <w:p>
      <w:pPr>
        <w:pStyle w:val="ListParagraph"/>
        <w:numPr>
          <w:ilvl w:val="0"/>
          <w:numId w:val="1"/>
        </w:numPr>
        <w:spacing w:after="100" w:line="290"/>
      </w:pPr>
      <w:r>
        <w:rPr>
          <w:rFonts w:ascii="Calibri" w:cs="Calibri" w:eastAsia="Calibri" w:hAnsi="Calibri"/>
          <w:color w:val="2C2433"/>
          <w:sz w:val="22"/>
          <w:szCs w:val="22"/>
        </w:rPr>
        <w:t xml:space="preserve">Logotipos vetoriais do SUS e do Governo do Estado da Bahia, para completar a régua de assinatura de 4 marcas no letterhead.</w:t>
      </w:r>
    </w:p>
    <w:p>
      <w:pPr>
        <w:pStyle w:val="ListParagraph"/>
        <w:numPr>
          <w:ilvl w:val="0"/>
          <w:numId w:val="1"/>
        </w:numPr>
        <w:spacing w:after="100" w:line="290"/>
      </w:pPr>
      <w:r>
        <w:rPr>
          <w:rFonts w:ascii="Calibri" w:cs="Calibri" w:eastAsia="Calibri" w:hAnsi="Calibri"/>
          <w:color w:val="2C2433"/>
          <w:sz w:val="22"/>
          <w:szCs w:val="22"/>
        </w:rPr>
        <w:t xml:space="preserve">Aplicar as classes .rail-* nos componentes de tela que já exibem a unidade ativa.</w:t>
      </w:r>
    </w:p>
    <w:p>
      <w:pPr>
        <w:pStyle w:val="Heading1"/>
        <w:spacing w:after="200" w:before="420"/>
      </w:pPr>
      <w:r>
        <w:rPr>
          <w:b/>
          <w:bCs/>
          <w:color w:val="543276"/>
        </w:rPr>
        <w:t xml:space="preserve">13. Referência rápida — tokens CSS</w:t>
      </w:r>
    </w:p>
    <w:p>
      <w:pPr>
        <w:spacing w:after="160" w:line="300"/>
      </w:pPr>
      <w:r>
        <w:rPr>
          <w:rFonts w:ascii="Calibri" w:cs="Calibri" w:eastAsia="Calibri" w:hAnsi="Calibri"/>
          <w:color w:val="2C2433"/>
          <w:sz w:val="22"/>
          <w:szCs w:val="22"/>
        </w:rPr>
        <w:t xml:space="preserve">Os valores abaixo já estão aplicados em frontend/src/index.css.</w:t>
      </w:r>
    </w:p>
    <w:p>
      <w:pPr>
        <w:pBdr>
          <w:top w:val="single" w:color="DAD3DE" w:sz="2"/>
          <w:bottom w:val="single" w:color="DAD3DE" w:sz="2"/>
          <w:left w:val="single" w:color="DAD3DE" w:sz="2"/>
          <w:right w:val="single" w:color="DAD3DE" w:sz="2"/>
        </w:pBdr>
        <w:shd w:fill="F1EEF3" w:val="clear"/>
        <w:spacing w:after="200" w:before="120"/>
      </w:pPr>
      <w:r>
        <w:rPr>
          <w:rFonts w:ascii="Consolas" w:cs="Consolas" w:eastAsia="Consolas" w:hAnsi="Consolas"/>
          <w:color w:val="2C2433"/>
          <w:sz w:val="18"/>
          <w:szCs w:val="18"/>
        </w:rPr>
        <w:t xml:space="preserve">:root {</w:t>
      </w:r>
      <w:r>
        <w:br/>
        <w:t xml:space="preserve"/>
      </w:r>
      <w:r>
        <w:rPr>
          <w:rFonts w:ascii="Consolas" w:cs="Consolas" w:eastAsia="Consolas" w:hAnsi="Consolas"/>
          <w:color w:val="2C2433"/>
          <w:sz w:val="18"/>
          <w:szCs w:val="18"/>
        </w:rPr>
        <w:t xml:space="preserve">  --fesf-purple: #61358c;</w:t>
      </w:r>
      <w:r>
        <w:br/>
        <w:t xml:space="preserve"/>
      </w:r>
      <w:r>
        <w:rPr>
          <w:rFonts w:ascii="Consolas" w:cs="Consolas" w:eastAsia="Consolas" w:hAnsi="Consolas"/>
          <w:color w:val="2C2433"/>
          <w:sz w:val="18"/>
          <w:szCs w:val="18"/>
        </w:rPr>
        <w:t xml:space="preserve">  --fesf-lavender: #7572a7;</w:t>
      </w:r>
      <w:r>
        <w:br/>
        <w:t xml:space="preserve"/>
      </w:r>
      <w:r>
        <w:rPr>
          <w:rFonts w:ascii="Consolas" w:cs="Consolas" w:eastAsia="Consolas" w:hAnsi="Consolas"/>
          <w:color w:val="2C2433"/>
          <w:sz w:val="18"/>
          <w:szCs w:val="18"/>
        </w:rPr>
        <w:t xml:space="preserve">  --fesf-teal: #79bfb4;</w:t>
      </w:r>
      <w:r>
        <w:br/>
        <w:t xml:space="preserve"/>
      </w:r>
      <w:r>
        <w:rPr>
          <w:rFonts w:ascii="Consolas" w:cs="Consolas" w:eastAsia="Consolas" w:hAnsi="Consolas"/>
          <w:color w:val="2C2433"/>
          <w:sz w:val="18"/>
          <w:szCs w:val="18"/>
        </w:rPr>
        <w:t xml:space="preserve">  --fesf-mint: #73d9a8;</w:t>
      </w:r>
      <w:r>
        <w:br/>
        <w:t xml:space="preserve"/>
      </w:r>
      <w:r>
        <w:rPr>
          <w:rFonts w:ascii="Consolas" w:cs="Consolas" w:eastAsia="Consolas" w:hAnsi="Consolas"/>
          <w:color w:val="2C2433"/>
          <w:sz w:val="18"/>
          <w:szCs w:val="18"/>
        </w:rPr>
        <w:t xml:space="preserve">  --fesf-gray: #575756;</w:t>
      </w:r>
      <w:r>
        <w:br/>
        <w:t xml:space="preserve"/>
      </w:r>
      <w:r>
        <w:rPr>
          <w:rFonts w:ascii="Consolas" w:cs="Consolas" w:eastAsia="Consolas" w:hAnsi="Consolas"/>
          <w:color w:val="2C2433"/>
          <w:sz w:val="18"/>
          <w:szCs w:val="18"/>
        </w:rPr>
        <w:t xml:space="preserve"> </w:t>
      </w:r>
      <w:r>
        <w:br/>
        <w:t xml:space="preserve"/>
      </w:r>
      <w:r>
        <w:rPr>
          <w:rFonts w:ascii="Consolas" w:cs="Consolas" w:eastAsia="Consolas" w:hAnsi="Consolas"/>
          <w:color w:val="2C2433"/>
          <w:sz w:val="18"/>
          <w:szCs w:val="18"/>
        </w:rPr>
        <w:t xml:space="preserve">  --bg: #f7f4f8;</w:t>
      </w:r>
      <w:r>
        <w:br/>
        <w:t xml:space="preserve"/>
      </w:r>
      <w:r>
        <w:rPr>
          <w:rFonts w:ascii="Consolas" w:cs="Consolas" w:eastAsia="Consolas" w:hAnsi="Consolas"/>
          <w:color w:val="2C2433"/>
          <w:sz w:val="18"/>
          <w:szCs w:val="18"/>
        </w:rPr>
        <w:t xml:space="preserve">  --surface: #ffffff;</w:t>
      </w:r>
      <w:r>
        <w:br/>
        <w:t xml:space="preserve"/>
      </w:r>
      <w:r>
        <w:rPr>
          <w:rFonts w:ascii="Consolas" w:cs="Consolas" w:eastAsia="Consolas" w:hAnsi="Consolas"/>
          <w:color w:val="2C2433"/>
          <w:sz w:val="18"/>
          <w:szCs w:val="18"/>
        </w:rPr>
        <w:t xml:space="preserve">  --surface-2: #eeeaf0;</w:t>
      </w:r>
      <w:r>
        <w:br/>
        <w:t xml:space="preserve"/>
      </w:r>
      <w:r>
        <w:rPr>
          <w:rFonts w:ascii="Consolas" w:cs="Consolas" w:eastAsia="Consolas" w:hAnsi="Consolas"/>
          <w:color w:val="2C2433"/>
          <w:sz w:val="18"/>
          <w:szCs w:val="18"/>
        </w:rPr>
        <w:t xml:space="preserve">  --ink: #2c2433;</w:t>
      </w:r>
      <w:r>
        <w:br/>
        <w:t xml:space="preserve"/>
      </w:r>
      <w:r>
        <w:rPr>
          <w:rFonts w:ascii="Consolas" w:cs="Consolas" w:eastAsia="Consolas" w:hAnsi="Consolas"/>
          <w:color w:val="2C2433"/>
          <w:sz w:val="18"/>
          <w:szCs w:val="18"/>
        </w:rPr>
        <w:t xml:space="preserve">  --muted: #73687d;</w:t>
      </w:r>
      <w:r>
        <w:br/>
        <w:t xml:space="preserve"/>
      </w:r>
      <w:r>
        <w:rPr>
          <w:rFonts w:ascii="Consolas" w:cs="Consolas" w:eastAsia="Consolas" w:hAnsi="Consolas"/>
          <w:color w:val="2C2433"/>
          <w:sz w:val="18"/>
          <w:szCs w:val="18"/>
        </w:rPr>
        <w:t xml:space="preserve">  --accent: #754f9c;</w:t>
      </w:r>
      <w:r>
        <w:br/>
        <w:t xml:space="preserve"/>
      </w:r>
      <w:r>
        <w:rPr>
          <w:rFonts w:ascii="Consolas" w:cs="Consolas" w:eastAsia="Consolas" w:hAnsi="Consolas"/>
          <w:color w:val="2C2433"/>
          <w:sz w:val="18"/>
          <w:szCs w:val="18"/>
        </w:rPr>
        <w:t xml:space="preserve">  --accent-strong: #543276;</w:t>
      </w:r>
      <w:r>
        <w:br/>
        <w:t xml:space="preserve"/>
      </w:r>
      <w:r>
        <w:rPr>
          <w:rFonts w:ascii="Consolas" w:cs="Consolas" w:eastAsia="Consolas" w:hAnsi="Consolas"/>
          <w:color w:val="2C2433"/>
          <w:sz w:val="18"/>
          <w:szCs w:val="18"/>
        </w:rPr>
        <w:t xml:space="preserve">  --ok: #397463;</w:t>
      </w:r>
      <w:r>
        <w:br/>
        <w:t xml:space="preserve"/>
      </w:r>
      <w:r>
        <w:rPr>
          <w:rFonts w:ascii="Consolas" w:cs="Consolas" w:eastAsia="Consolas" w:hAnsi="Consolas"/>
          <w:color w:val="2C2433"/>
          <w:sz w:val="18"/>
          <w:szCs w:val="18"/>
        </w:rPr>
        <w:t xml:space="preserve">  --warn: #886220;</w:t>
      </w:r>
      <w:r>
        <w:br/>
        <w:t xml:space="preserve"/>
      </w:r>
      <w:r>
        <w:rPr>
          <w:rFonts w:ascii="Consolas" w:cs="Consolas" w:eastAsia="Consolas" w:hAnsi="Consolas"/>
          <w:color w:val="2C2433"/>
          <w:sz w:val="18"/>
          <w:szCs w:val="18"/>
        </w:rPr>
        <w:t xml:space="preserve">  --danger: #96404f;</w:t>
      </w:r>
      <w:r>
        <w:br/>
        <w:t xml:space="preserve"/>
      </w:r>
      <w:r>
        <w:rPr>
          <w:rFonts w:ascii="Consolas" w:cs="Consolas" w:eastAsia="Consolas" w:hAnsi="Consolas"/>
          <w:color w:val="2C2433"/>
          <w:sz w:val="18"/>
          <w:szCs w:val="18"/>
        </w:rPr>
        <w:t xml:space="preserve">  --unit-caf: #754f9c;</w:t>
      </w:r>
      <w:r>
        <w:br/>
        <w:t xml:space="preserve"/>
      </w:r>
      <w:r>
        <w:rPr>
          <w:rFonts w:ascii="Consolas" w:cs="Consolas" w:eastAsia="Consolas" w:hAnsi="Consolas"/>
          <w:color w:val="2C2433"/>
          <w:sz w:val="18"/>
          <w:szCs w:val="18"/>
        </w:rPr>
        <w:t xml:space="preserve">  --unit-uti: #6d6aaf;</w:t>
      </w:r>
      <w:r>
        <w:br/>
        <w:t xml:space="preserve"/>
      </w:r>
      <w:r>
        <w:rPr>
          <w:rFonts w:ascii="Consolas" w:cs="Consolas" w:eastAsia="Consolas" w:hAnsi="Consolas"/>
          <w:color w:val="2C2433"/>
          <w:sz w:val="18"/>
          <w:szCs w:val="18"/>
        </w:rPr>
        <w:t xml:space="preserve">  --unit-cc: #3b9184;</w:t>
      </w:r>
      <w:r>
        <w:br/>
        <w:t xml:space="preserve"/>
      </w:r>
      <w:r>
        <w:rPr>
          <w:rFonts w:ascii="Consolas" w:cs="Consolas" w:eastAsia="Consolas" w:hAnsi="Consolas"/>
          <w:color w:val="2C2433"/>
          <w:sz w:val="18"/>
          <w:szCs w:val="18"/>
        </w:rPr>
        <w:t xml:space="preserve">  --unit-emerg: #389468;</w:t>
      </w:r>
      <w:r>
        <w:br/>
        <w:t xml:space="preserve"/>
      </w:r>
      <w:r>
        <w:rPr>
          <w:rFonts w:ascii="Consolas" w:cs="Consolas" w:eastAsia="Consolas" w:hAnsi="Consolas"/>
          <w:color w:val="2C2433"/>
          <w:sz w:val="18"/>
          <w:szCs w:val="1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2026-08-03T11:22:06.601Z</dcterms:created>
  <dcterms:modified xsi:type="dcterms:W3CDTF">2026-08-03T11:22:06.601Z</dcterms:modified>
</cp:coreProperties>
</file>

<file path=docProps/custom.xml><?xml version="1.0" encoding="utf-8"?>
<Properties xmlns="http://schemas.openxmlformats.org/officeDocument/2006/custom-properties" xmlns:vt="http://schemas.openxmlformats.org/officeDocument/2006/docPropsVTypes"/>
</file>