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0F4C81"/>
          <w:sz w:val="64"/>
          <w:szCs w:val="64"/>
        </w:rPr>
        <w:t xml:space="preserve">MicroGest</w:t>
      </w:r>
    </w:p>
    <w:p>
      <w:pPr>
        <w:spacing w:after="100"/>
        <w:jc w:val="center"/>
      </w:pPr>
      <w:r>
        <w:rPr>
          <w:b/>
          <w:bCs/>
          <w:color w:val="2E8B57"/>
          <w:sz w:val="32"/>
          <w:szCs w:val="32"/>
        </w:rPr>
        <w:t xml:space="preserve">Manual de Identidade Visual</w:t>
      </w:r>
    </w:p>
    <w:p>
      <w:pPr>
        <w:spacing w:after="700"/>
        <w:jc w:val="center"/>
      </w:pPr>
      <w:r>
        <w:rPr>
          <w:i/>
          <w:iCs/>
          <w:color w:val="6B7280"/>
          <w:sz w:val="22"/>
          <w:szCs w:val="22"/>
        </w:rPr>
        <w:t xml:space="preserve">Sistema Inteligente de Gestão Microbiológica</w:t>
      </w:r>
    </w:p>
    <w:p>
      <w:pPr>
        <w:jc w:val="center"/>
      </w:pPr>
      <w:r>
        <w:rPr>
          <w:color w:val="6B7280"/>
          <w:sz w:val="20"/>
          <w:szCs w:val="20"/>
        </w:rPr>
        <w:t xml:space="preserve">Versão 1.0  ·  Julho de 2026</w:t>
      </w:r>
    </w:p>
    <w:p>
      <w:pPr>
        <w:spacing w:before="60"/>
        <w:jc w:val="center"/>
      </w:pPr>
      <w:r>
        <w:rPr>
          <w:color w:val="6B7280"/>
          <w:sz w:val="18"/>
          <w:szCs w:val="18"/>
        </w:rPr>
        <w:t xml:space="preserve">Documento preparado para uso interno e por parceiros de desenvolvimento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Sobre este documento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Este Manual de Identidade Visual consolida todos os elementos de marca do MicroGest — símbolo, logotipo, paleta de cores, tipografia, iconografia e padrões de interface — em um único documento de referência.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Ele foi criado para garantir consistência visual em qualquer aplicação da marca: sistema web, materiais impressos, apresentações institucionais ou comunicação com hospitais e laboratórios parceiros. Junto a este documento, é entregue um pacote de arquivos prontos para uso (símbolos em SVG e PNG, ícones de aplicativo em todos os tamanhos, favicon e mockups de tela), detalhado na seção 10.</w:t>
      </w:r>
    </w:p>
    <w:p>
      <w:pPr>
        <w:pBdr>
          <w:bottom w:val="single" w:color="E5E7EB" w:sz="6" w:space="1"/>
        </w:pBd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1. Sobre a marca — missão, visão e valores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2. Símbolo e logotipo — versões e composições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3. Área de proteção e tamanho mínimo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4. Usos incorretos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5. Paleta de cores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6. Tipografia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7. Ícones de aplicativo (favicon, Android, iOS, Windows)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8. Aplicação em produto — tela de login e estrutura do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9. Componentes de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10. Pacote de arquivos entregues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11. Diretrizes finais de uso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1. Sobre a marca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 MicroGest é uma plataforma inteligente para gestão laboratorial e microbiológica, que integra processos, automação e análise de dados para apoiar decisões clínicas e administrativas com segurança e eficiência.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 símbolo representa um microrganismo estilizado — um bacilo ao centro, cercado por elementos que remetem a colônias microbianas — envolto por um anel parcial que simboliza o ciclo contínuo de coleta, análise e liberação de resultados que move o sistema.</w:t>
      </w:r>
    </w:p>
    <w:p>
      <w:pPr>
        <w:pStyle w:val="Heading3"/>
        <w:spacing w:after="100" w:before="200"/>
      </w:pPr>
      <w:r>
        <w:rPr>
          <w:b/>
          <w:bCs/>
          <w:color w:val="2E8B57"/>
        </w:rPr>
        <w:t xml:space="preserve">Missão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Transformar dados microbiológicos em informações confiáveis para promover qualidade e segurança na saúde.</w:t>
      </w:r>
    </w:p>
    <w:p>
      <w:pPr>
        <w:pStyle w:val="Heading3"/>
        <w:spacing w:after="100" w:before="200"/>
      </w:pPr>
      <w:r>
        <w:rPr>
          <w:b/>
          <w:bCs/>
          <w:color w:val="2E8B57"/>
        </w:rPr>
        <w:t xml:space="preserve">Visão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Ser referência em gestão laboratorial inteligente na América Latina.</w:t>
      </w:r>
    </w:p>
    <w:p>
      <w:pPr>
        <w:pStyle w:val="Heading3"/>
        <w:spacing w:after="100" w:before="200"/>
      </w:pPr>
      <w:r>
        <w:rPr>
          <w:b/>
          <w:bCs/>
          <w:color w:val="2E8B57"/>
        </w:rPr>
        <w:t xml:space="preserve">Valores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Precisão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Integração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Inovação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Transparência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Compromisso com a vida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2. Símbolo e logotipo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 símbolo do MicroGest é o elemento central e mais reconhecível da marca. Ele é utilizado isoladamente em ícones de aplicativo e favicons, e combinado ao logotipo por extenso ("MicroGest") nas demais aplicações.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2.1 Logotipo horizontal (versão principal)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Uso preferencial em cabeçalhos, documentos, apresentações e materiais onde há espaço horizontal disponível.</w:t>
      </w:r>
    </w:p>
    <w:p>
      <w:pPr>
        <w:jc w:val="center"/>
      </w:pPr>
      <w:r>
        <w:drawing>
          <wp:inline distT="0" distB="0" distL="0" distR="0">
            <wp:extent cx="36195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Logotipo horizontal — versão colorida sobre fundo claro</w:t>
      </w:r>
    </w:p>
    <w:p>
      <w:pPr>
        <w:jc w:val="center"/>
      </w:pPr>
      <w:r>
        <w:drawing>
          <wp:inline distT="0" distB="0" distL="0" distR="0">
            <wp:extent cx="36195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Logotipo horizontal — versão negativa, para fundos escuros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2.2 Logotipo vertical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Uso em aplicações com espaço vertical, como splash screens, capas de documento e materiais institucionais.</w:t>
      </w:r>
    </w:p>
    <w:p>
      <w:pPr>
        <w:jc w:val="center"/>
      </w:pPr>
      <w:r>
        <w:drawing>
          <wp:inline distT="0" distB="0" distL="0" distR="0">
            <wp:extent cx="2095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Logotipo vertical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2.3 Variações do símbolo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 símbolo isolado possui quatro variações oficiais, para diferentes fundos e contextos de reprodução:</w:t>
      </w:r>
    </w:p>
    <w:p>
      <w:pPr>
        <w:jc w:val="center"/>
      </w:pPr>
      <w:r>
        <w:drawing>
          <wp:inline distT="0" distB="0" distL="0" distR="0">
            <wp:extent cx="43815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Colorida · Negativa (tile) · Monocromática · Monocromática Negativa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Colorida — uso padrão sobre fundos claros ou neutros.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Negativa — ícone de aplicativo; símbolo colorido sobre tile na cor primária.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Monocromática — reproduções em um único tom (impressão P&amp;B, carimbos, marca d'água).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Monocromática Negativa — mesma aplicação, para fundos escuros.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3. Área de proteção e tamanho mínimo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Para preservar a legibilidade e o impacto visual do símbolo, mantenha sempre uma área de proteção livre de outros elementos (textos, imagens, bordas) ao redor da marca, equivalente à unidade X indicada abaixo.</w:t>
      </w:r>
    </w:p>
    <w:p>
      <w:pPr>
        <w:jc w:val="center"/>
      </w:pPr>
      <w:r>
        <w:drawing>
          <wp:inline distT="0" distB="0" distL="0" distR="0">
            <wp:extent cx="209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Área de proteção mínima — unidade X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Tamanho mínimo de reprodução: 24px de altura em telas, ou 8mm em materiais impressos. Abaixo disso, os detalhes internos do símbolo perdem legibilidade.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4. Usos incorretos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Para preservar a integridade da marca, evite as seguintes alterações em qualquer aplicação do símbolo ou logotipo:</w:t>
      </w:r>
    </w:p>
    <w:p>
      <w:pPr>
        <w:jc w:val="center"/>
      </w:pPr>
      <w:r>
        <w:drawing>
          <wp:inline distT="0" distB="0" distL="0" distR="0">
            <wp:extent cx="4381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Exemplos de uso incorreto do símbolo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5. Paleta de cores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 paleta do MicroGest combina o azul institucional (confiança, tecnologia e ambiente clínico) com o verde (biologia, saúde e crescimento), complementados por cores funcionais de interface.</w:t>
      </w:r>
    </w:p>
    <w:p>
      <w:pPr>
        <w:jc w:val="center"/>
      </w:pPr>
      <w:r>
        <w:drawing>
          <wp:inline distT="0" distB="0" distL="0" distR="0">
            <wp:extent cx="4381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Paleta de cores oficial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Cores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0F4C81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#0F4C81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Cor primária da marca. Headers, botões primários, links, ícone do app.</w:t>
            </w:r>
          </w:p>
        </w:tc>
      </w:tr>
      <w:tr>
        <w:tc>
          <w:tcPr>
            <w:tcW w:type="pct" w:w="33%"/>
            <w:shd w:fill="2E8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2E8B57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#2E8B57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Cor secundária. Destaques, sucesso, elementos de crescimento/biologia.</w:t>
            </w:r>
          </w:p>
        </w:tc>
      </w:tr>
      <w:tr>
        <w:tc>
          <w:tcPr>
            <w:tcW w:type="pct" w:w="33%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1F2937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#1F2937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Texto principal, títulos, ícones monocromáticos.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Cores de apoio (funcionais)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33%"/>
            <w:shd w:fill="0F4C8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33%"/>
            <w:shd w:fill="22C5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22C55E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#22C55E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Sucesso — resultado liberado, ação confirmada.</w:t>
            </w:r>
          </w:p>
        </w:tc>
      </w:tr>
      <w:tr>
        <w:tc>
          <w:tcPr>
            <w:tcW w:type="pct" w:w="33%"/>
            <w:shd w:fill="F59E0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F59E0B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#F59E0B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Alerta — prazo próximo do vencimento, atenção necessária.</w:t>
            </w:r>
          </w:p>
        </w:tc>
      </w:tr>
      <w:tr>
        <w:tc>
          <w:tcPr>
            <w:tcW w:type="pct" w:w="33%"/>
            <w:shd w:fill="DC26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DC2626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#DC2626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Erro — contaminação, exclusão, falha crítica.</w:t>
            </w:r>
          </w:p>
        </w:tc>
      </w:tr>
      <w:tr>
        <w:tc>
          <w:tcPr>
            <w:tcW w:type="pct" w:w="33%"/>
            <w:shd w:fill="3B82F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3B82F6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#3B82F6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Informação — avisos neutros, dicas do sistema.</w:t>
            </w:r>
          </w:p>
        </w:tc>
      </w:tr>
      <w:tr>
        <w:tc>
          <w:tcPr>
            <w:tcW w:type="pct" w:w="33%"/>
            <w:shd w:fill="F8FAF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F8FAFC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#F8FAFC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Fundo padrão da aplicação (quase branco).</w:t>
            </w:r>
          </w:p>
        </w:tc>
      </w:tr>
      <w:tr>
        <w:tc>
          <w:tcPr>
            <w:tcW w:type="pct" w:w="33%"/>
            <w:shd w:fill="E5E7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E5E7EB</w:t>
            </w:r>
          </w:p>
        </w:tc>
        <w:tc>
          <w:tcPr>
            <w:tcW w:type="pct" w:w="33%"/>
          </w:tcPr>
          <w:p>
            <w:r>
              <w:rPr>
                <w:color w:val="1F2937"/>
                <w:sz w:val="20"/>
                <w:szCs w:val="20"/>
              </w:rPr>
              <w:t xml:space="preserve">#E5E7EB</w:t>
            </w:r>
          </w:p>
        </w:tc>
        <w:tc>
          <w:tcPr>
            <w:tcW w:type="pct" w:w="34%"/>
          </w:tcPr>
          <w:p>
            <w:r>
              <w:rPr>
                <w:color w:val="1F2937"/>
                <w:sz w:val="20"/>
                <w:szCs w:val="20"/>
              </w:rPr>
              <w:t xml:space="preserve">Bordas, divisores e estados neutros/desabilitados.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6. Tipografia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 família tipográfica oficial do MicroGest é a Poppins (Google Fonts), por sua leitura limpa e alta legibilidade em telas e dashboards.</w:t>
      </w:r>
    </w:p>
    <w:p>
      <w:pPr>
        <w:jc w:val="center"/>
      </w:pPr>
      <w:r>
        <w:drawing>
          <wp:inline distT="0" distB="0" distL="0" distR="0">
            <wp:extent cx="4381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Pesos tipográficos utilizados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Hierarquia recomendada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Bold (700) — títulos principais, valores numéricos em destaque (KPIs).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SemiBold (600) — subtítulos, nomes de seção, botões.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Medium (500) — rótulos de campo, itens de menu, badges.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Regular (400) — texto corrido, corpo de tabelas.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Light (300) — textos auxiliares e legendas, uso pontual.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7. Ícones de aplicativo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 conjunto de ícones abaixo cobre todas as plataformas necessárias para o lançamento do MicroGest como aplicação web e PWA (Progressive Web App).</w:t>
      </w:r>
    </w:p>
    <w:p>
      <w:pPr>
        <w:jc w:val="center"/>
      </w:pPr>
      <w:r>
        <w:drawing>
          <wp:inline distT="0" distB="0" distL="0" distR="0">
            <wp:extent cx="4381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Ícones de aplicativo por plataforma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favicon.ico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ICO (16/32/48/64/128/256px)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Aba do navegador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favicon32.png / favicon16.png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PNG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Favicon web (tags &lt;link&gt;)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android192.png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PNG 192×192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Ícone de instalação Android / PWA manifest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ios180.png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PNG 180×180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apple-touch-icon (iOS)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apple-touch-icon-152 / 167.png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PNG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iPad / dispositivos Apple variados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windows256.png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PNG 256×256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Atalho de área de trabalho Windows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icone512.png / icone1024.png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PNG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Ícone de alta resolução, PWA manifest, lojas de app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maskable-512.png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PNG 512×512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Ícone adaptável Android (maskable icon)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8. Aplicação em produto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8.1 Tela de login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 tela de login segue o padrão de split-screen: painel de marca à esquerda (cor primária, símbolo e mensagem institucional) e formulário de acesso à direita, em fundo claro.</w:t>
      </w:r>
    </w:p>
    <w:p>
      <w:pPr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Mockup de referência — tela de login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8.2 Estrutura do sistema (dashboard)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Estrutura padrão de navegação: menu lateral fixo na cor primária com os módulos do sistema, cabeçalho branco com saudação/busca/notificações, e área de conteúdo em fundo claro com cards e painéis brancos.</w:t>
      </w:r>
    </w:p>
    <w:p>
      <w:pPr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Mockup de referência — estrutura de dashboard e navegação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Itens do menu principal: Dashboard, Pacientes, Solicitações, Microbiologia, Antibiogramas, CCIH, Relatórios e Configurações — conforme os módulos definidos no Documento Mestre do projeto.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9. Componentes de interface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Padrões visuais recomendados para os principais componentes reutilizáveis do sistema.</w:t>
      </w:r>
    </w:p>
    <w:p>
      <w:pPr>
        <w:jc w:val="center"/>
      </w:pPr>
      <w:r>
        <w:drawing>
          <wp:inline distT="0" distB="0" distL="0" distR="0">
            <wp:extent cx="4381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B7280"/>
          <w:sz w:val="18"/>
          <w:szCs w:val="18"/>
        </w:rPr>
        <w:t xml:space="preserve">Botões, badges de status e cards de indicador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Botões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Primário (azul) — ação principal da tela (ex.: Salvar, Entrar).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Secundário (cinza) — ação neutra/cancelar.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Sucesso / Alerta / Erro — ações que confirmam, avisam ou removem.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Badges de status (culturas/amostras)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Liberado — verde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Aguardando — amarelo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Em análise — azul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Contaminado — vermelho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Iconografia de módulos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Para os ícones de menu e módulos (Paciente, Cultura, Antibiograma, Microrganismo, Calendário, Usuários, Configurações etc.), recomenda-se o uso da biblioteca open-source Lucide Icons, com traço (stroke) de 2px, no estilo outline — compatível com a identidade limpa da marca e já disponível como dependência padrão em projetos React/Vite.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10. Pacote de arquivos entregues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Todos os arquivos abaixo acompanham este manual, organizados em pastas por tipo: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/svg — vetores editáveis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shd w:fill="0F4C8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microgest-simbolo-colorido.svg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Símbolo isolado, versão colorida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microgest-simbolo-negativo.svg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Símbolo em tile navy (base dos ícones de app)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microgest-simbolo-monocromatico.svg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Símbolo em tom único (escuro)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microgest-simbolo-monocromatico-negativo.svg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Símbolo em tom único (claro/branco)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microgest-logo-horizontal.svg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Logotipo horizontal completo</w:t>
            </w:r>
          </w:p>
        </w:tc>
      </w:tr>
      <w:tr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microgest-logo-vertical.svg</w:t>
            </w:r>
          </w:p>
        </w:tc>
        <w:tc>
          <w:tcPr>
            <w:shd w:fill="FFFFFF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FFFFF" w:val="clear"/>
          </w:tcPr>
          <w:p>
            <w:r>
              <w:rPr>
                <w:color w:val="1F2937"/>
                <w:sz w:val="18"/>
                <w:szCs w:val="18"/>
              </w:rPr>
              <w:t xml:space="preserve">Logotipo vertical completo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microgest-logo-horizontal-negativo.svg</w:t>
            </w:r>
          </w:p>
        </w:tc>
        <w:tc>
          <w:tcPr>
            <w:shd w:fill="F8FAFC" w:val="clear"/>
          </w:tcPr>
          <w:p>
            <w:r>
              <w:rPr>
                <w:color w:val="6B7280"/>
                <w:sz w:val="18"/>
                <w:szCs w:val="18"/>
              </w:rPr>
              <w:t xml:space="preserve">SVG</w:t>
            </w:r>
          </w:p>
        </w:tc>
        <w:tc>
          <w:tcPr>
            <w:shd w:fill="F8FAFC" w:val="clear"/>
          </w:tcPr>
          <w:p>
            <w:r>
              <w:rPr>
                <w:color w:val="1F2937"/>
                <w:sz w:val="18"/>
                <w:szCs w:val="18"/>
              </w:rPr>
              <w:t xml:space="preserve">Logotipo horizontal para fundo escuro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/png — rasters prontos para uso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Ícones de aplicativo em todos os tamanhos (seção 7), logotipos em alta resolução e símbolo em 1024px para documentos e apresentações.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/favicon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favicon.ico multi-resolução, pronto para publicação na raiz do site.</w:t>
      </w:r>
    </w:p>
    <w:p>
      <w:pPr>
        <w:pStyle w:val="Heading2"/>
        <w:spacing w:after="150" w:before="300"/>
      </w:pPr>
      <w:r>
        <w:rPr>
          <w:b/>
          <w:bCs/>
          <w:color w:val="0F4C81"/>
        </w:rPr>
        <w:t xml:space="preserve">/mockups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Referências visuais de tela de login e estrutura de dashboard, para orientar a implementação do frontend.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</w:rPr>
        <w:t xml:space="preserve">11. Diretrizes finais de uso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Sempre utilize os arquivos originais fornecidos — não recrie o símbolo a partir de capturas de tela ou reduções sucessivas, que degradam a qualidade.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Mantenha a área de proteção mínima em qualquer aplicação (seção 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Utilize a versão negativa apenas sobre a cor primária (#0F4C81) ou tons próximos, garantindo contraste adequado.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Para qualquer novo material (apresentações, uniformes, materiais impressos, redes sociais), utilize esta paleta e tipografia como referência única.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Em caso de dúvida sobre uma aplicação não coberta por este manual, priorize sempre a legibilidade e a consistência com os exemplos aqui apresentados.</w:t>
      </w:r>
    </w:p>
    <w:p>
      <w:pPr>
        <w:spacing w:before="400"/>
      </w:pPr>
    </w:p>
    <w:p>
      <w:pPr>
        <w:spacing w:after="160" w:line="300"/>
      </w:pPr>
      <w:r>
        <w:rPr>
          <w:i/>
          <w:iCs/>
          <w:color w:val="6B7280"/>
          <w:sz w:val="21"/>
          <w:szCs w:val="21"/>
        </w:rPr>
        <w:t xml:space="preserve">Este é um documento vivo: conforme o MicroGest evoluir (novos módulos, telas ou plataformas), esta identidade visual deve ser atualizada e a nova versão deve substituir esta como referência oficial.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4"/>
        <w:szCs w:val="14"/>
      </w:rPr>
      <w:t xml:space="preserve">Página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4"/>
        <w:szCs w:val="14"/>
      </w:rPr>
      <w:t xml:space="preserve">MicroGest — Manual de Identidade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b4e11818bec5a0b9cb0d708bbbc0a8ee34c03a.png"/><Relationship Id="rId10" Type="http://schemas.openxmlformats.org/officeDocument/2006/relationships/image" Target="media/e5eb33a80b870cba8f8588b58e9ab504773508d5.png"/><Relationship Id="rId11" Type="http://schemas.openxmlformats.org/officeDocument/2006/relationships/image" Target="media/dd73ebd5138a8386c16f6db952336fdacea74448.png"/><Relationship Id="rId12" Type="http://schemas.openxmlformats.org/officeDocument/2006/relationships/image" Target="media/d433352b1501c287ddcb2e563933b8b5b798fd7b.png"/><Relationship Id="rId13" Type="http://schemas.openxmlformats.org/officeDocument/2006/relationships/image" Target="media/bf5def122ab3573a1e54acaf6fae1db1c80e2e7b.png"/><Relationship Id="rId14" Type="http://schemas.openxmlformats.org/officeDocument/2006/relationships/image" Target="media/0b4a7fd1a6768a2c49eda478b739418cc053404d.png"/><Relationship Id="rId15" Type="http://schemas.openxmlformats.org/officeDocument/2006/relationships/image" Target="media/ba066c3e9c80dec0a6f90c85f34a0c6431c5515d.png"/><Relationship Id="rId16" Type="http://schemas.openxmlformats.org/officeDocument/2006/relationships/image" Target="media/00ea92f65978397f68667ceb40a2402435e0c99f.png"/><Relationship Id="rId17" Type="http://schemas.openxmlformats.org/officeDocument/2006/relationships/image" Target="media/85d476467e0d423ed3343401c05214dfb83979de.png"/><Relationship Id="rId18" Type="http://schemas.openxmlformats.org/officeDocument/2006/relationships/image" Target="media/d0331c3fd78ec3c4be5c03958571d02e0d9403a1.png"/><Relationship Id="rId19" Type="http://schemas.openxmlformats.org/officeDocument/2006/relationships/image" Target="media/7059def07d0d5258ed0691535e8d0c64e5dc187e.png"/><Relationship Id="rId20" Type="http://schemas.openxmlformats.org/officeDocument/2006/relationships/image" Target="media/b51ea6e4a79bfc6ec0005dcc9a7b32093400fe8e.png"/><Relationship Id="rId21" Type="http://schemas.openxmlformats.org/officeDocument/2006/relationships/image" Target="media/ca3dfeee21723cb4cd19329986b7ebc1ad8c7dc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2026-07-27T00:17:09.830Z</dcterms:created>
  <dcterms:modified xsi:type="dcterms:W3CDTF">2026-07-27T00:17:09.841Z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