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80"/>
        <w:jc w:val="center"/>
      </w:pPr>
      <w:r>
        <w:rPr>
          <w:rFonts w:ascii="Times New Roman" w:hAnsi="Times New Roman"/>
          <w:b/>
          <w:color w:val="1F4E79"/>
          <w:sz w:val="32"/>
        </w:rPr>
        <w:t>SMART CITY</w:t>
      </w:r>
    </w:p>
    <w:p>
      <w:pPr>
        <w:keepNext/>
        <w:spacing w:before="200" w:after="100"/>
      </w:pPr>
      <w:r>
        <w:rPr>
          <w:rFonts w:ascii="Times New Roman" w:hAnsi="Times New Roman"/>
          <w:b/>
          <w:color w:val="1F4E79"/>
          <w:sz w:val="26"/>
        </w:rPr>
        <w:t>1. Definisi Smart City</w:t>
      </w:r>
    </w:p>
    <w:p>
      <w:pPr>
        <w:spacing w:line="276" w:lineRule="auto" w:after="140"/>
      </w:pPr>
      <w:r>
        <w:rPr>
          <w:rFonts w:ascii="Times New Roman" w:hAnsi="Times New Roman"/>
          <w:color w:val="1F1F1F"/>
          <w:sz w:val="22"/>
        </w:rPr>
        <w:t>Smart city atau kota pintar adalah konsep pembangunan perkotaan yang memanfaatkan Teknologi Informasi dan Komunikasi (TIK), Internet of Things (IoT), kecerdasan buatan (AI), dan analitik data untuk meningkatkan kualitas hidup warga, efisiensi layanan publik, serta keberlanjutan kota secara menyeluruh. Sanchez et al. (2023) mendefinisikan smart city sebagai kota yang menggunakan teknologi canggih dan analitik data untuk meningkatkan kualitas hidup warganya, meningkatkan efisiensi infrastruktur dan layanan, serta mendorong pertumbuhan ekonomi yang berkelanjutan.</w:t>
      </w:r>
    </w:p>
    <w:p>
      <w:pPr>
        <w:spacing w:line="276" w:lineRule="auto" w:after="140"/>
      </w:pPr>
      <w:r>
        <w:rPr>
          <w:rFonts w:ascii="Times New Roman" w:hAnsi="Times New Roman"/>
          <w:color w:val="1F1F1F"/>
          <w:sz w:val="22"/>
        </w:rPr>
        <w:t>Kozlowski dan Suwar (2021) menambahkan bahwa smart city sulit didefinisikan secara tunggal karena bersifat multidimensi. Sebagian besar peneliti sepakat bahwa TIK merupakan inti dari konsep ini, namun smart city juga mencakup modal manusia, modal sosial, dan kelembagaan. Sementara itu, dari perspektif teknologi, Sanchez et al. (2025) menegaskan bahwa smart city digerakkan oleh konvergensi IoT, computing continuum, dan AI yang memungkinkan kota merencanakan tata ruang, mengoptimalkan sumber daya, dan memperkuat tata kelola secara real-time.</w:t>
      </w:r>
    </w:p>
    <w:p>
      <w:pPr>
        <w:keepNext/>
        <w:spacing w:before="200" w:after="100"/>
      </w:pPr>
      <w:r>
        <w:rPr>
          <w:rFonts w:ascii="Times New Roman" w:hAnsi="Times New Roman"/>
          <w:b/>
          <w:color w:val="1F4E79"/>
          <w:sz w:val="26"/>
        </w:rPr>
        <w:t>2. Dimensi dan Komponen Smart City</w:t>
      </w:r>
    </w:p>
    <w:p>
      <w:pPr>
        <w:spacing w:line="276" w:lineRule="auto" w:after="140"/>
      </w:pPr>
      <w:r>
        <w:rPr>
          <w:rFonts w:ascii="Times New Roman" w:hAnsi="Times New Roman"/>
          <w:color w:val="1F1F1F"/>
          <w:sz w:val="22"/>
        </w:rPr>
        <w:t>Smart city mencakup enam dimensi utama yang saling berkaitan satu sama lain (Sanchez et al., 2023):</w:t>
      </w:r>
    </w:p>
    <w:p>
      <w:pPr>
        <w:pStyle w:val="ListBullet"/>
        <w:spacing w:after="80" w:line="264" w:lineRule="auto"/>
      </w:pPr>
      <w:r>
        <w:rPr>
          <w:rFonts w:ascii="Times New Roman" w:hAnsi="Times New Roman"/>
          <w:color w:val="1F1F1F"/>
          <w:sz w:val="22"/>
        </w:rPr>
        <w:t>Smart Economy: daya saing ekonomi melalui inovasi, kewirausahaan, dan produktivitas berbasis teknologi.</w:t>
      </w:r>
    </w:p>
    <w:p>
      <w:pPr>
        <w:pStyle w:val="ListBullet"/>
        <w:spacing w:after="80" w:line="264" w:lineRule="auto"/>
      </w:pPr>
      <w:r>
        <w:rPr>
          <w:rFonts w:ascii="Times New Roman" w:hAnsi="Times New Roman"/>
          <w:color w:val="1F1F1F"/>
          <w:sz w:val="22"/>
        </w:rPr>
        <w:t>Smart Mobility: sistem transportasi yang cerdas, efisien, terintegrasi, dan ramah lingkungan.</w:t>
      </w:r>
    </w:p>
    <w:p>
      <w:pPr>
        <w:pStyle w:val="ListBullet"/>
        <w:spacing w:after="80" w:line="264" w:lineRule="auto"/>
      </w:pPr>
      <w:r>
        <w:rPr>
          <w:rFonts w:ascii="Times New Roman" w:hAnsi="Times New Roman"/>
          <w:color w:val="1F1F1F"/>
          <w:sz w:val="22"/>
        </w:rPr>
        <w:t>Smart Environment: pengelolaan sumber daya alam, energi terbarukan, dan pengurangan dampak lingkungan.</w:t>
      </w:r>
    </w:p>
    <w:p>
      <w:pPr>
        <w:pStyle w:val="ListBullet"/>
        <w:spacing w:after="80" w:line="264" w:lineRule="auto"/>
      </w:pPr>
      <w:r>
        <w:rPr>
          <w:rFonts w:ascii="Times New Roman" w:hAnsi="Times New Roman"/>
          <w:color w:val="1F1F1F"/>
          <w:sz w:val="22"/>
        </w:rPr>
        <w:t>Smart People: modal manusia, literasi digital, kreativitas, dan partisipasi aktif warga.</w:t>
      </w:r>
    </w:p>
    <w:p>
      <w:pPr>
        <w:pStyle w:val="ListBullet"/>
        <w:spacing w:after="80" w:line="264" w:lineRule="auto"/>
      </w:pPr>
      <w:r>
        <w:rPr>
          <w:rFonts w:ascii="Times New Roman" w:hAnsi="Times New Roman"/>
          <w:color w:val="1F1F1F"/>
          <w:sz w:val="22"/>
        </w:rPr>
        <w:t>Smart Living: kualitas hidup warga meliputi layanan kesehatan, keamanan, dan perumahan layak.</w:t>
      </w:r>
    </w:p>
    <w:p>
      <w:pPr>
        <w:pStyle w:val="ListBullet"/>
        <w:spacing w:after="80" w:line="264" w:lineRule="auto"/>
      </w:pPr>
      <w:r>
        <w:rPr>
          <w:rFonts w:ascii="Times New Roman" w:hAnsi="Times New Roman"/>
          <w:color w:val="1F1F1F"/>
          <w:sz w:val="22"/>
        </w:rPr>
        <w:t>Smart Governance: tata kelola pemerintahan yang transparan, partisipatif, dan berbasis data digital.</w:t>
      </w:r>
    </w:p>
    <w:p>
      <w:pPr>
        <w:keepNext/>
        <w:spacing w:before="200" w:after="100"/>
      </w:pPr>
      <w:r>
        <w:rPr>
          <w:rFonts w:ascii="Times New Roman" w:hAnsi="Times New Roman"/>
          <w:b/>
          <w:color w:val="1F4E79"/>
          <w:sz w:val="26"/>
        </w:rPr>
        <w:t>3. Tujuan Smart City</w:t>
      </w:r>
    </w:p>
    <w:p>
      <w:pPr>
        <w:spacing w:line="276" w:lineRule="auto" w:after="140"/>
      </w:pPr>
      <w:r>
        <w:rPr>
          <w:rFonts w:ascii="Times New Roman" w:hAnsi="Times New Roman"/>
          <w:color w:val="1F1F1F"/>
          <w:sz w:val="22"/>
        </w:rPr>
        <w:t>Tujuan utama smart city bukan sekadar mengadopsi teknologi, melainkan menciptakan kota yang lebih baik bagi seluruh warganya. Kozlowski dan Suwar (2021) menegaskan bahwa pencapaian tujuan smart city membutuhkan kolaborasi antara pemerintah, swasta, akademisi, dan masyarakat sipil. Secara umum, tujuan smart city meliputi:</w:t>
      </w:r>
    </w:p>
    <w:p>
      <w:pPr>
        <w:pStyle w:val="ListBullet"/>
        <w:spacing w:after="80" w:line="264" w:lineRule="auto"/>
      </w:pPr>
      <w:r>
        <w:rPr>
          <w:rFonts w:ascii="Times New Roman" w:hAnsi="Times New Roman"/>
          <w:color w:val="1F1F1F"/>
          <w:sz w:val="22"/>
        </w:rPr>
        <w:t>Meningkatkan kualitas dan efisiensi layanan publik bagi seluruh lapisan masyarakat.</w:t>
      </w:r>
    </w:p>
    <w:p>
      <w:pPr>
        <w:pStyle w:val="ListBullet"/>
        <w:spacing w:after="80" w:line="264" w:lineRule="auto"/>
      </w:pPr>
      <w:r>
        <w:rPr>
          <w:rFonts w:ascii="Times New Roman" w:hAnsi="Times New Roman"/>
          <w:color w:val="1F1F1F"/>
          <w:sz w:val="22"/>
        </w:rPr>
        <w:t>Mendorong pertumbuhan ekonomi yang inklusif dan berkelanjutan.</w:t>
      </w:r>
    </w:p>
    <w:p>
      <w:pPr>
        <w:pStyle w:val="ListBullet"/>
        <w:spacing w:after="80" w:line="264" w:lineRule="auto"/>
      </w:pPr>
      <w:r>
        <w:rPr>
          <w:rFonts w:ascii="Times New Roman" w:hAnsi="Times New Roman"/>
          <w:color w:val="1F1F1F"/>
          <w:sz w:val="22"/>
        </w:rPr>
        <w:t>Mengurangi dampak lingkungan melalui pengelolaan energi dan sumber daya yang efisien.</w:t>
      </w:r>
    </w:p>
    <w:p>
      <w:pPr>
        <w:pStyle w:val="ListBullet"/>
        <w:spacing w:after="80" w:line="264" w:lineRule="auto"/>
      </w:pPr>
      <w:r>
        <w:rPr>
          <w:rFonts w:ascii="Times New Roman" w:hAnsi="Times New Roman"/>
          <w:color w:val="1F1F1F"/>
          <w:sz w:val="22"/>
        </w:rPr>
        <w:t>Memperkuat keterlibatan dan partisipasi warga dalam pengambilan keputusan kota.</w:t>
      </w:r>
    </w:p>
    <w:p>
      <w:pPr>
        <w:pStyle w:val="ListBullet"/>
        <w:spacing w:after="80" w:line="264" w:lineRule="auto"/>
      </w:pPr>
      <w:r>
        <w:rPr>
          <w:rFonts w:ascii="Times New Roman" w:hAnsi="Times New Roman"/>
          <w:color w:val="1F1F1F"/>
          <w:sz w:val="22"/>
        </w:rPr>
        <w:t>Meningkatkan keselamatan, keamanan, dan kesejahteraan warga melalui sistem pemantauan cerdas.</w:t>
      </w:r>
    </w:p>
    <w:p>
      <w:pPr>
        <w:keepNext/>
        <w:spacing w:before="200" w:after="100"/>
      </w:pPr>
      <w:r>
        <w:rPr>
          <w:rFonts w:ascii="Times New Roman" w:hAnsi="Times New Roman"/>
          <w:b/>
          <w:color w:val="1F4E79"/>
          <w:sz w:val="26"/>
        </w:rPr>
        <w:t>4. Teknologi Pendukung Smart City</w:t>
      </w:r>
    </w:p>
    <w:p>
      <w:pPr>
        <w:spacing w:line="276" w:lineRule="auto" w:after="140"/>
      </w:pPr>
      <w:r>
        <w:rPr>
          <w:rFonts w:ascii="Times New Roman" w:hAnsi="Times New Roman"/>
          <w:color w:val="1F1F1F"/>
          <w:sz w:val="22"/>
        </w:rPr>
        <w:t>Sanchez et al. (2025) mengidentifikasi beberapa teknologi kunci yang menjadi fondasi smart city modern:</w:t>
      </w:r>
    </w:p>
    <w:p>
      <w:pPr>
        <w:pStyle w:val="ListBullet"/>
        <w:spacing w:after="80" w:line="264" w:lineRule="auto"/>
      </w:pPr>
      <w:r>
        <w:rPr>
          <w:rFonts w:ascii="Times New Roman" w:hAnsi="Times New Roman"/>
          <w:color w:val="1F1F1F"/>
          <w:sz w:val="22"/>
        </w:rPr>
        <w:t>IoT (Internet of Things): jaringan perangkat yang saling terhubung untuk mengumpulkan data kota secara real-time.</w:t>
      </w:r>
    </w:p>
    <w:p>
      <w:pPr>
        <w:pStyle w:val="ListBullet"/>
        <w:spacing w:after="80" w:line="264" w:lineRule="auto"/>
      </w:pPr>
      <w:r>
        <w:rPr>
          <w:rFonts w:ascii="Times New Roman" w:hAnsi="Times New Roman"/>
          <w:color w:val="1F1F1F"/>
          <w:sz w:val="22"/>
        </w:rPr>
        <w:t>Kecerdasan Buatan (AI): menganalisis data besar, memprediksi pola, dan mengotomasi pengambilan keputusan.</w:t>
      </w:r>
    </w:p>
    <w:p>
      <w:pPr>
        <w:pStyle w:val="ListBullet"/>
        <w:spacing w:after="80" w:line="264" w:lineRule="auto"/>
      </w:pPr>
      <w:r>
        <w:rPr>
          <w:rFonts w:ascii="Times New Roman" w:hAnsi="Times New Roman"/>
          <w:color w:val="1F1F1F"/>
          <w:sz w:val="22"/>
        </w:rPr>
        <w:t>Big Data dan Analitik: mengolah data dari berbagai sumber untuk mendukung kebijakan berbasis bukti.</w:t>
      </w:r>
    </w:p>
    <w:p>
      <w:pPr>
        <w:pStyle w:val="ListBullet"/>
        <w:spacing w:after="80" w:line="264" w:lineRule="auto"/>
      </w:pPr>
      <w:r>
        <w:rPr>
          <w:rFonts w:ascii="Times New Roman" w:hAnsi="Times New Roman"/>
          <w:color w:val="1F1F1F"/>
          <w:sz w:val="22"/>
        </w:rPr>
        <w:t>Cloud dan Edge Computing: infrastruktur komputasi skalabel untuk memproses data kota secara efisien.</w:t>
      </w:r>
    </w:p>
    <w:p>
      <w:pPr>
        <w:pStyle w:val="ListBullet"/>
        <w:spacing w:after="80" w:line="264" w:lineRule="auto"/>
      </w:pPr>
      <w:r>
        <w:rPr>
          <w:rFonts w:ascii="Times New Roman" w:hAnsi="Times New Roman"/>
          <w:color w:val="1F1F1F"/>
          <w:sz w:val="22"/>
        </w:rPr>
        <w:t>Jaringan 5G: konektivitas cepat dan stabil sebagai tulang punggung komunikasi smart city.</w:t>
      </w:r>
    </w:p>
    <w:p>
      <w:pPr>
        <w:keepNext/>
        <w:spacing w:before="200" w:after="100"/>
      </w:pPr>
      <w:r>
        <w:rPr>
          <w:rFonts w:ascii="Times New Roman" w:hAnsi="Times New Roman"/>
          <w:b/>
          <w:color w:val="1F4E79"/>
          <w:sz w:val="26"/>
        </w:rPr>
        <w:t>5. Tantangan Implementasi Smart City</w:t>
      </w:r>
    </w:p>
    <w:p>
      <w:pPr>
        <w:spacing w:line="276" w:lineRule="auto" w:after="140"/>
      </w:pPr>
      <w:r>
        <w:rPr>
          <w:rFonts w:ascii="Times New Roman" w:hAnsi="Times New Roman"/>
          <w:color w:val="1F1F1F"/>
          <w:sz w:val="22"/>
        </w:rPr>
        <w:t>Meskipun menawarkan banyak manfaat, smart city menghadapi sejumlah tantangan nyata. Sanchez et al. (2025) menyoroti perlunya tata kelola yang adaptif terhadap kemajuan teknologi untuk mengatasi isu privasi data, etika, dan kesenjangan digital.</w:t>
      </w:r>
    </w:p>
    <w:p>
      <w:pPr>
        <w:spacing w:line="276" w:lineRule="auto" w:after="140"/>
      </w:pPr>
      <w:r>
        <w:rPr>
          <w:rFonts w:ascii="Times New Roman" w:hAnsi="Times New Roman"/>
          <w:color w:val="1F1F1F"/>
          <w:sz w:val="22"/>
        </w:rPr>
        <w:t>Tantangan lain meliputi keterbatasan anggaran dan infrastruktur di negara berkembang, rendahnya literasi digital masyarakat, lemahnya kerangka regulasi, serta meningkatnya risiko keamanan siber. Kozlowski dan Suwar (2021) menegaskan bahwa keberhasilan smart city sangat bergantung pada kemampuan pemerintah membangun ekosistem kolaboratif yang melibatkan seluruh pemangku kepentingan.</w:t>
      </w:r>
    </w:p>
    <w:p>
      <w:pPr>
        <w:keepNext/>
        <w:spacing w:before="200" w:after="100"/>
      </w:pPr>
      <w:r>
        <w:rPr>
          <w:rFonts w:ascii="Times New Roman" w:hAnsi="Times New Roman"/>
          <w:b/>
          <w:color w:val="1F4E79"/>
          <w:sz w:val="26"/>
        </w:rPr>
        <w:t>6. Kesimpulan</w:t>
      </w:r>
    </w:p>
    <w:p>
      <w:pPr>
        <w:spacing w:line="276" w:lineRule="auto" w:after="140"/>
      </w:pPr>
      <w:r>
        <w:rPr>
          <w:rFonts w:ascii="Times New Roman" w:hAnsi="Times New Roman"/>
          <w:color w:val="1F1F1F"/>
          <w:sz w:val="22"/>
        </w:rPr>
        <w:t>Smart city adalah konsep kota masa depan yang mengintegrasikan teknologi, manusia, dan tata kelola dalam satu ekosistem urban yang cerdas dan berkelanjutan. Konsep ini tidak sekadar soal teknologi canggih, melainkan juga tentang bagaimana kota mampu merespons kebutuhan warganya secara efisien, inklusif, dan berkelanjutan. Keberhasilan smart city membutuhkan sinergi antara teknologi, kebijakan, dan partisipasi aktif seluruh elemen masyarakat.</w:t>
      </w:r>
    </w:p>
    <w:p>
      <w:r/>
    </w:p>
    <w:p>
      <w:pPr>
        <w:spacing w:before="80" w:after="280"/>
        <w:jc w:val="center"/>
      </w:pPr>
      <w:r>
        <w:rPr>
          <w:rFonts w:ascii="Times New Roman" w:hAnsi="Times New Roman"/>
          <w:b/>
          <w:color w:val="1F4E79"/>
          <w:sz w:val="32"/>
        </w:rPr>
        <w:t>PROFIL DAERAH KOTA BANDAR LAMPUNG</w:t>
      </w:r>
    </w:p>
    <w:p>
      <w:pPr>
        <w:keepNext/>
        <w:spacing w:before="200" w:after="100"/>
      </w:pPr>
      <w:r>
        <w:rPr>
          <w:rFonts w:ascii="Times New Roman" w:hAnsi="Times New Roman"/>
          <w:b/>
          <w:color w:val="1F4E79"/>
          <w:sz w:val="26"/>
        </w:rPr>
        <w:t>1. Identitas Wilayah</w:t>
      </w:r>
    </w:p>
    <w:p>
      <w:pPr>
        <w:spacing w:line="276" w:lineRule="auto" w:after="140"/>
      </w:pPr>
      <w:r>
        <w:rPr>
          <w:rFonts w:ascii="Times New Roman" w:hAnsi="Times New Roman"/>
          <w:color w:val="1F1F1F"/>
          <w:sz w:val="22"/>
        </w:rPr>
        <w:t>Kota Bandar Lampung merupakan ibu kota Provinsi Lampung. Sebagai pusat pemerintahan provinsi, kota ini memiliki peran penting dalam kegiatan administrasi, pendidikan, perdagangan, jasa, dan aktivitas sosial masyarakat. Profil daerah ini disusun sebagai gambaran umum objek wilayah dengan menggunakan data BPS Kota Bandar Lampung sebagai sumber utama informasi kewilayahan.</w:t>
      </w:r>
    </w:p>
    <w:tbl>
      <w:tblPr>
        <w:tblStyle w:val="TableGrid"/>
        <w:tblW w:type="pct" w:w="5000"/>
        <w:jc w:val="center"/>
        <w:tblLook w:firstColumn="1" w:firstRow="1" w:lastColumn="0" w:lastRow="0" w:noHBand="0" w:noVBand="1" w:val="04A0"/>
      </w:tblPr>
      <w:tblGrid>
        <w:gridCol w:w="4824"/>
        <w:gridCol w:w="4824"/>
      </w:tblGrid>
      <w:tr>
        <w:tc>
          <w:tcPr>
            <w:tcW w:type="dxa" w:w="3096"/>
            <w:vAlign w:val="center"/>
            <w:shd w:fill="1F4E79"/>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jc w:val="center"/>
            </w:pPr>
            <w:r>
              <w:rPr>
                <w:rFonts w:ascii="Times New Roman" w:hAnsi="Times New Roman"/>
                <w:b/>
                <w:color w:val="FFFFFF"/>
                <w:sz w:val="20"/>
              </w:rPr>
              <w:t>Aspek</w:t>
            </w:r>
          </w:p>
        </w:tc>
        <w:tc>
          <w:tcPr>
            <w:tcW w:type="dxa" w:w="6408"/>
            <w:vAlign w:val="center"/>
            <w:shd w:fill="1F4E79"/>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jc w:val="center"/>
            </w:pPr>
            <w:r>
              <w:rPr>
                <w:rFonts w:ascii="Times New Roman" w:hAnsi="Times New Roman"/>
                <w:b/>
                <w:color w:val="FFFFFF"/>
                <w:sz w:val="20"/>
              </w:rPr>
              <w:t>Keterangan</w:t>
            </w:r>
          </w:p>
        </w:tc>
      </w:tr>
      <w:tr>
        <w:tc>
          <w:tcPr>
            <w:tcW w:type="dxa" w:w="309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Wilayah kajian</w:t>
            </w:r>
          </w:p>
        </w:tc>
        <w:tc>
          <w:tcPr>
            <w:tcW w:type="dxa" w:w="640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left"/>
            </w:pPr>
            <w:r>
              <w:rPr>
                <w:rFonts w:ascii="Times New Roman" w:hAnsi="Times New Roman"/>
                <w:color w:val="1F1F1F"/>
                <w:sz w:val="20"/>
              </w:rPr>
              <w:t>Kota Bandar Lampung</w:t>
            </w:r>
          </w:p>
        </w:tc>
      </w:tr>
      <w:tr>
        <w:tc>
          <w:tcPr>
            <w:tcW w:type="dxa" w:w="3096"/>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Provinsi</w:t>
            </w:r>
          </w:p>
        </w:tc>
        <w:tc>
          <w:tcPr>
            <w:tcW w:type="dxa" w:w="6408"/>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Lampung</w:t>
            </w:r>
          </w:p>
        </w:tc>
      </w:tr>
      <w:tr>
        <w:tc>
          <w:tcPr>
            <w:tcW w:type="dxa" w:w="309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Luas wilayah</w:t>
            </w:r>
          </w:p>
        </w:tc>
        <w:tc>
          <w:tcPr>
            <w:tcW w:type="dxa" w:w="640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197,22 km persegi</w:t>
            </w:r>
          </w:p>
        </w:tc>
      </w:tr>
      <w:tr>
        <w:tc>
          <w:tcPr>
            <w:tcW w:type="dxa" w:w="3096"/>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Jumlah kecamatan</w:t>
            </w:r>
          </w:p>
        </w:tc>
        <w:tc>
          <w:tcPr>
            <w:tcW w:type="dxa" w:w="6408"/>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20 kecamatan</w:t>
            </w:r>
          </w:p>
        </w:tc>
      </w:tr>
      <w:tr>
        <w:tc>
          <w:tcPr>
            <w:tcW w:type="dxa" w:w="309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Jumlah kelurahan</w:t>
            </w:r>
          </w:p>
        </w:tc>
        <w:tc>
          <w:tcPr>
            <w:tcW w:type="dxa" w:w="640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126 kelurahan</w:t>
            </w:r>
          </w:p>
        </w:tc>
      </w:tr>
      <w:tr>
        <w:tc>
          <w:tcPr>
            <w:tcW w:type="dxa" w:w="3096"/>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left"/>
            </w:pPr>
            <w:r>
              <w:rPr>
                <w:rFonts w:ascii="Times New Roman" w:hAnsi="Times New Roman"/>
                <w:color w:val="1F1F1F"/>
                <w:sz w:val="20"/>
              </w:rPr>
              <w:t>Jumlah penduduk tahun 2024</w:t>
            </w:r>
          </w:p>
        </w:tc>
        <w:tc>
          <w:tcPr>
            <w:tcW w:type="dxa" w:w="6408"/>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1.077.664 jiwa</w:t>
            </w:r>
          </w:p>
        </w:tc>
      </w:tr>
      <w:tr>
        <w:tc>
          <w:tcPr>
            <w:tcW w:type="dxa" w:w="309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left"/>
            </w:pPr>
            <w:r>
              <w:rPr>
                <w:rFonts w:ascii="Times New Roman" w:hAnsi="Times New Roman"/>
                <w:color w:val="1F1F1F"/>
                <w:sz w:val="20"/>
              </w:rPr>
              <w:t>Sumber data wilayah</w:t>
            </w:r>
          </w:p>
        </w:tc>
        <w:tc>
          <w:tcPr>
            <w:tcW w:type="dxa" w:w="640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left"/>
            </w:pPr>
            <w:r>
              <w:rPr>
                <w:rFonts w:ascii="Times New Roman" w:hAnsi="Times New Roman"/>
                <w:color w:val="1F1F1F"/>
                <w:sz w:val="20"/>
              </w:rPr>
              <w:t>BPS Kota Bandar Lampung, 2025</w:t>
            </w:r>
          </w:p>
        </w:tc>
      </w:tr>
    </w:tbl>
    <w:p>
      <w:pPr>
        <w:spacing w:after="60"/>
      </w:pPr>
    </w:p>
    <w:p>
      <w:pPr>
        <w:keepNext/>
        <w:spacing w:before="200" w:after="100"/>
      </w:pPr>
      <w:r>
        <w:rPr>
          <w:rFonts w:ascii="Times New Roman" w:hAnsi="Times New Roman"/>
          <w:b/>
          <w:color w:val="1F4E79"/>
          <w:sz w:val="26"/>
        </w:rPr>
        <w:t>2. Luas Wilayah dan Pembagian Administratif</w:t>
      </w:r>
    </w:p>
    <w:p>
      <w:pPr>
        <w:spacing w:line="276" w:lineRule="auto" w:after="140"/>
      </w:pPr>
      <w:r>
        <w:rPr>
          <w:rFonts w:ascii="Times New Roman" w:hAnsi="Times New Roman"/>
          <w:color w:val="1F1F1F"/>
          <w:sz w:val="22"/>
        </w:rPr>
        <w:t>Berdasarkan publikasi BPS Kota Bandar Lampung, luas wilayah Kota Bandar Lampung adalah 197,22 km persegi. Secara administratif, wilayah ini terdiri dari 20 kecamatan dan 126 kelurahan. Pembagian wilayah tersebut menunjukkan bahwa Kota Bandar Lampung memiliki cakupan administrasi yang cukup luas untuk ukuran kota, dengan karakter kawasan yang beragam antara wilayah pusat kota, permukiman, kawasan pesisir, perdagangan, jasa, dan wilayah yang berkembang sebagai pusat aktivitas baru (BPS Kota Bandar Lampung, 2025).</w:t>
      </w:r>
    </w:p>
    <w:tbl>
      <w:tblPr>
        <w:tblStyle w:val="TableGrid"/>
        <w:tblW w:type="pct" w:w="5000"/>
        <w:jc w:val="center"/>
        <w:tblLook w:firstColumn="1" w:firstRow="1" w:lastColumn="0" w:lastRow="0" w:noHBand="0" w:noVBand="1" w:val="04A0"/>
      </w:tblPr>
      <w:tblGrid>
        <w:gridCol w:w="4824"/>
        <w:gridCol w:w="4824"/>
      </w:tblGrid>
      <w:tr>
        <w:tc>
          <w:tcPr>
            <w:tcW w:type="dxa" w:w="1008"/>
            <w:vAlign w:val="center"/>
            <w:shd w:fill="1F4E79"/>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jc w:val="center"/>
            </w:pPr>
            <w:r>
              <w:rPr>
                <w:rFonts w:ascii="Times New Roman" w:hAnsi="Times New Roman"/>
                <w:b/>
                <w:color w:val="FFFFFF"/>
                <w:sz w:val="20"/>
              </w:rPr>
              <w:t>No.</w:t>
            </w:r>
          </w:p>
        </w:tc>
        <w:tc>
          <w:tcPr>
            <w:tcW w:type="dxa" w:w="8496"/>
            <w:vAlign w:val="center"/>
            <w:shd w:fill="1F4E79"/>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jc w:val="center"/>
            </w:pPr>
            <w:r>
              <w:rPr>
                <w:rFonts w:ascii="Times New Roman" w:hAnsi="Times New Roman"/>
                <w:b/>
                <w:color w:val="FFFFFF"/>
                <w:sz w:val="20"/>
              </w:rPr>
              <w:t>Kecamatan</w:t>
            </w:r>
          </w:p>
        </w:tc>
      </w:tr>
      <w:tr>
        <w:tc>
          <w:tcPr>
            <w:tcW w:type="dxa" w:w="100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w:t>
            </w:r>
          </w:p>
        </w:tc>
        <w:tc>
          <w:tcPr>
            <w:tcW w:type="dxa" w:w="849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Teluk Betung Barat</w:t>
            </w:r>
          </w:p>
        </w:tc>
      </w:tr>
      <w:tr>
        <w:tc>
          <w:tcPr>
            <w:tcW w:type="dxa" w:w="1008"/>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2</w:t>
            </w:r>
          </w:p>
        </w:tc>
        <w:tc>
          <w:tcPr>
            <w:tcW w:type="dxa" w:w="8496"/>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Teluk Betung Timur</w:t>
            </w:r>
          </w:p>
        </w:tc>
      </w:tr>
      <w:tr>
        <w:tc>
          <w:tcPr>
            <w:tcW w:type="dxa" w:w="100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3</w:t>
            </w:r>
          </w:p>
        </w:tc>
        <w:tc>
          <w:tcPr>
            <w:tcW w:type="dxa" w:w="849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left"/>
            </w:pPr>
            <w:r>
              <w:rPr>
                <w:rFonts w:ascii="Times New Roman" w:hAnsi="Times New Roman"/>
                <w:color w:val="1F1F1F"/>
                <w:sz w:val="20"/>
              </w:rPr>
              <w:t>Teluk Betung Selatan</w:t>
            </w:r>
          </w:p>
        </w:tc>
      </w:tr>
      <w:tr>
        <w:tc>
          <w:tcPr>
            <w:tcW w:type="dxa" w:w="1008"/>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4</w:t>
            </w:r>
          </w:p>
        </w:tc>
        <w:tc>
          <w:tcPr>
            <w:tcW w:type="dxa" w:w="8496"/>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Bumi Waras</w:t>
            </w:r>
          </w:p>
        </w:tc>
      </w:tr>
      <w:tr>
        <w:tc>
          <w:tcPr>
            <w:tcW w:type="dxa" w:w="100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5</w:t>
            </w:r>
          </w:p>
        </w:tc>
        <w:tc>
          <w:tcPr>
            <w:tcW w:type="dxa" w:w="849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Panjang</w:t>
            </w:r>
          </w:p>
        </w:tc>
      </w:tr>
      <w:tr>
        <w:tc>
          <w:tcPr>
            <w:tcW w:type="dxa" w:w="1008"/>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6</w:t>
            </w:r>
          </w:p>
        </w:tc>
        <w:tc>
          <w:tcPr>
            <w:tcW w:type="dxa" w:w="8496"/>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left"/>
            </w:pPr>
            <w:r>
              <w:rPr>
                <w:rFonts w:ascii="Times New Roman" w:hAnsi="Times New Roman"/>
                <w:color w:val="1F1F1F"/>
                <w:sz w:val="20"/>
              </w:rPr>
              <w:t>Tanjung Karang Timur</w:t>
            </w:r>
          </w:p>
        </w:tc>
      </w:tr>
      <w:tr>
        <w:tc>
          <w:tcPr>
            <w:tcW w:type="dxa" w:w="100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7</w:t>
            </w:r>
          </w:p>
        </w:tc>
        <w:tc>
          <w:tcPr>
            <w:tcW w:type="dxa" w:w="849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Kedamaian</w:t>
            </w:r>
          </w:p>
        </w:tc>
      </w:tr>
      <w:tr>
        <w:tc>
          <w:tcPr>
            <w:tcW w:type="dxa" w:w="1008"/>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8</w:t>
            </w:r>
          </w:p>
        </w:tc>
        <w:tc>
          <w:tcPr>
            <w:tcW w:type="dxa" w:w="8496"/>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Teluk Betung Utara</w:t>
            </w:r>
          </w:p>
        </w:tc>
      </w:tr>
      <w:tr>
        <w:tc>
          <w:tcPr>
            <w:tcW w:type="dxa" w:w="100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9</w:t>
            </w:r>
          </w:p>
        </w:tc>
        <w:tc>
          <w:tcPr>
            <w:tcW w:type="dxa" w:w="849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left"/>
            </w:pPr>
            <w:r>
              <w:rPr>
                <w:rFonts w:ascii="Times New Roman" w:hAnsi="Times New Roman"/>
                <w:color w:val="1F1F1F"/>
                <w:sz w:val="20"/>
              </w:rPr>
              <w:t>Tanjung Karang Pusat</w:t>
            </w:r>
          </w:p>
        </w:tc>
      </w:tr>
      <w:tr>
        <w:tc>
          <w:tcPr>
            <w:tcW w:type="dxa" w:w="1008"/>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10</w:t>
            </w:r>
          </w:p>
        </w:tc>
        <w:tc>
          <w:tcPr>
            <w:tcW w:type="dxa" w:w="8496"/>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Enggal</w:t>
            </w:r>
          </w:p>
        </w:tc>
      </w:tr>
      <w:tr>
        <w:tc>
          <w:tcPr>
            <w:tcW w:type="dxa" w:w="100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11</w:t>
            </w:r>
          </w:p>
        </w:tc>
        <w:tc>
          <w:tcPr>
            <w:tcW w:type="dxa" w:w="849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left"/>
            </w:pPr>
            <w:r>
              <w:rPr>
                <w:rFonts w:ascii="Times New Roman" w:hAnsi="Times New Roman"/>
                <w:color w:val="1F1F1F"/>
                <w:sz w:val="20"/>
              </w:rPr>
              <w:t>Tanjung Karang Barat</w:t>
            </w:r>
          </w:p>
        </w:tc>
      </w:tr>
      <w:tr>
        <w:tc>
          <w:tcPr>
            <w:tcW w:type="dxa" w:w="1008"/>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12</w:t>
            </w:r>
          </w:p>
        </w:tc>
        <w:tc>
          <w:tcPr>
            <w:tcW w:type="dxa" w:w="8496"/>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Kemiling</w:t>
            </w:r>
          </w:p>
        </w:tc>
      </w:tr>
      <w:tr>
        <w:tc>
          <w:tcPr>
            <w:tcW w:type="dxa" w:w="100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13</w:t>
            </w:r>
          </w:p>
        </w:tc>
        <w:tc>
          <w:tcPr>
            <w:tcW w:type="dxa" w:w="849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Langkapura</w:t>
            </w:r>
          </w:p>
        </w:tc>
      </w:tr>
      <w:tr>
        <w:tc>
          <w:tcPr>
            <w:tcW w:type="dxa" w:w="1008"/>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14</w:t>
            </w:r>
          </w:p>
        </w:tc>
        <w:tc>
          <w:tcPr>
            <w:tcW w:type="dxa" w:w="8496"/>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Kedaton</w:t>
            </w:r>
          </w:p>
        </w:tc>
      </w:tr>
      <w:tr>
        <w:tc>
          <w:tcPr>
            <w:tcW w:type="dxa" w:w="100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15</w:t>
            </w:r>
          </w:p>
        </w:tc>
        <w:tc>
          <w:tcPr>
            <w:tcW w:type="dxa" w:w="849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Rajabasa</w:t>
            </w:r>
          </w:p>
        </w:tc>
      </w:tr>
      <w:tr>
        <w:tc>
          <w:tcPr>
            <w:tcW w:type="dxa" w:w="1008"/>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16</w:t>
            </w:r>
          </w:p>
        </w:tc>
        <w:tc>
          <w:tcPr>
            <w:tcW w:type="dxa" w:w="8496"/>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Tanjung Senang</w:t>
            </w:r>
          </w:p>
        </w:tc>
      </w:tr>
      <w:tr>
        <w:tc>
          <w:tcPr>
            <w:tcW w:type="dxa" w:w="100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17</w:t>
            </w:r>
          </w:p>
        </w:tc>
        <w:tc>
          <w:tcPr>
            <w:tcW w:type="dxa" w:w="849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Labuhan Ratu</w:t>
            </w:r>
          </w:p>
        </w:tc>
      </w:tr>
      <w:tr>
        <w:tc>
          <w:tcPr>
            <w:tcW w:type="dxa" w:w="1008"/>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18</w:t>
            </w:r>
          </w:p>
        </w:tc>
        <w:tc>
          <w:tcPr>
            <w:tcW w:type="dxa" w:w="8496"/>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Sukarame</w:t>
            </w:r>
          </w:p>
        </w:tc>
      </w:tr>
      <w:tr>
        <w:tc>
          <w:tcPr>
            <w:tcW w:type="dxa" w:w="100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19</w:t>
            </w:r>
          </w:p>
        </w:tc>
        <w:tc>
          <w:tcPr>
            <w:tcW w:type="dxa" w:w="849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Sukabumi</w:t>
            </w:r>
          </w:p>
        </w:tc>
      </w:tr>
      <w:tr>
        <w:tc>
          <w:tcPr>
            <w:tcW w:type="dxa" w:w="1008"/>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20</w:t>
            </w:r>
          </w:p>
        </w:tc>
        <w:tc>
          <w:tcPr>
            <w:tcW w:type="dxa" w:w="8496"/>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Way Halim</w:t>
            </w:r>
          </w:p>
        </w:tc>
      </w:tr>
    </w:tbl>
    <w:p>
      <w:pPr>
        <w:spacing w:after="60"/>
      </w:pPr>
    </w:p>
    <w:p>
      <w:pPr>
        <w:keepNext/>
        <w:spacing w:before="200" w:after="100"/>
      </w:pPr>
      <w:r>
        <w:rPr>
          <w:rFonts w:ascii="Times New Roman" w:hAnsi="Times New Roman"/>
          <w:b/>
          <w:color w:val="1F4E79"/>
          <w:sz w:val="26"/>
        </w:rPr>
        <w:t>3. Kondisi Administratif Kota</w:t>
      </w:r>
    </w:p>
    <w:p>
      <w:pPr>
        <w:spacing w:line="276" w:lineRule="auto" w:after="140"/>
      </w:pPr>
      <w:r>
        <w:rPr>
          <w:rFonts w:ascii="Times New Roman" w:hAnsi="Times New Roman"/>
          <w:color w:val="1F1F1F"/>
          <w:sz w:val="22"/>
        </w:rPr>
        <w:t>Dua puluh kecamatan di Kota Bandar Lampung membentuk struktur administratif yang menjadi dasar penyelenggaraan layanan publik. Setiap kecamatan memiliki kelurahan sebagai unit pemerintahan yang lebih dekat dengan warga. Dengan jumlah 126 kelurahan, pengelolaan layanan kota perlu memperhatikan perbedaan karakter antarwilayah, baik dari sisi jumlah penduduk, fungsi kawasan, maupun kebutuhan infrastruktur dasar (BPS Kota Bandar Lampung, 2025).</w:t>
      </w:r>
    </w:p>
    <w:p>
      <w:pPr>
        <w:keepNext/>
        <w:spacing w:before="200" w:after="100"/>
      </w:pPr>
      <w:r>
        <w:rPr>
          <w:rFonts w:ascii="Times New Roman" w:hAnsi="Times New Roman"/>
          <w:b/>
          <w:color w:val="1F4E79"/>
          <w:sz w:val="26"/>
        </w:rPr>
        <w:t>4. Kependudukan</w:t>
      </w:r>
    </w:p>
    <w:p>
      <w:pPr>
        <w:spacing w:line="276" w:lineRule="auto" w:after="140"/>
      </w:pPr>
      <w:r>
        <w:rPr>
          <w:rFonts w:ascii="Times New Roman" w:hAnsi="Times New Roman"/>
          <w:color w:val="1F1F1F"/>
          <w:sz w:val="22"/>
        </w:rPr>
        <w:t>Jumlah penduduk Kota Bandar Lampung pada tahun 2024 tercatat sebanyak 1.077.664 jiwa. Jumlah tersebut menunjukkan bahwa Bandar Lampung merupakan wilayah perkotaan dengan aktivitas penduduk yang tinggi. Besarnya penduduk berpengaruh terhadap kebutuhan layanan dasar, mobilitas harian, penggunaan ruang kota, serta tekanan terhadap fasilitas dan infrastruktur perkotaan (BPS Kota Bandar Lampung, 2025).</w:t>
      </w:r>
    </w:p>
    <w:tbl>
      <w:tblPr>
        <w:tblStyle w:val="TableGrid"/>
        <w:tblW w:type="pct" w:w="5000"/>
        <w:jc w:val="center"/>
        <w:tblLook w:firstColumn="1" w:firstRow="1" w:lastColumn="0" w:lastRow="0" w:noHBand="0" w:noVBand="1" w:val="04A0"/>
      </w:tblPr>
      <w:tblGrid>
        <w:gridCol w:w="4824"/>
        <w:gridCol w:w="4824"/>
      </w:tblGrid>
      <w:tr>
        <w:tc>
          <w:tcPr>
            <w:tcW w:type="dxa" w:w="5328"/>
            <w:vAlign w:val="center"/>
            <w:shd w:fill="1F4E79"/>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jc w:val="center"/>
            </w:pPr>
            <w:r>
              <w:rPr>
                <w:rFonts w:ascii="Times New Roman" w:hAnsi="Times New Roman"/>
                <w:b/>
                <w:color w:val="FFFFFF"/>
                <w:sz w:val="20"/>
              </w:rPr>
              <w:t>Keterangan</w:t>
            </w:r>
          </w:p>
        </w:tc>
        <w:tc>
          <w:tcPr>
            <w:tcW w:type="dxa" w:w="4176"/>
            <w:vAlign w:val="center"/>
            <w:shd w:fill="1F4E79"/>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jc w:val="center"/>
            </w:pPr>
            <w:r>
              <w:rPr>
                <w:rFonts w:ascii="Times New Roman" w:hAnsi="Times New Roman"/>
                <w:b/>
                <w:color w:val="FFFFFF"/>
                <w:sz w:val="20"/>
              </w:rPr>
              <w:t>Data</w:t>
            </w:r>
          </w:p>
        </w:tc>
      </w:tr>
      <w:tr>
        <w:tc>
          <w:tcPr>
            <w:tcW w:type="dxa" w:w="532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left"/>
            </w:pPr>
            <w:r>
              <w:rPr>
                <w:rFonts w:ascii="Times New Roman" w:hAnsi="Times New Roman"/>
                <w:color w:val="1F1F1F"/>
                <w:sz w:val="20"/>
              </w:rPr>
              <w:t>Jumlah penduduk Kota Bandar Lampung tahun 2024</w:t>
            </w:r>
          </w:p>
        </w:tc>
        <w:tc>
          <w:tcPr>
            <w:tcW w:type="dxa" w:w="417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1.077.664 jiwa</w:t>
            </w:r>
          </w:p>
        </w:tc>
      </w:tr>
      <w:tr>
        <w:tc>
          <w:tcPr>
            <w:tcW w:type="dxa" w:w="5328"/>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Luas wilayah</w:t>
            </w:r>
          </w:p>
        </w:tc>
        <w:tc>
          <w:tcPr>
            <w:tcW w:type="dxa" w:w="4176"/>
            <w:vAlign w:val="center"/>
            <w:shd w:fill="F3F6FA"/>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197,22 km persegi</w:t>
            </w:r>
          </w:p>
        </w:tc>
      </w:tr>
      <w:tr>
        <w:tc>
          <w:tcPr>
            <w:tcW w:type="dxa" w:w="5328"/>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center"/>
            </w:pPr>
            <w:r>
              <w:rPr>
                <w:rFonts w:ascii="Times New Roman" w:hAnsi="Times New Roman"/>
                <w:color w:val="1F1F1F"/>
                <w:sz w:val="20"/>
              </w:rPr>
              <w:t>Gambaran umum</w:t>
            </w:r>
          </w:p>
        </w:tc>
        <w:tc>
          <w:tcPr>
            <w:tcW w:type="dxa" w:w="4176"/>
            <w:vAlign w:val="center"/>
            <w:shd w:fill="FFFFFF"/>
            <w:tcBorders>
              <w:top w:val="single" w:sz="6" w:space="0" w:color="C7D6E5"/>
              <w:left w:val="single" w:sz="6" w:space="0" w:color="C7D6E5"/>
              <w:bottom w:val="single" w:sz="6" w:space="0" w:color="C7D6E5"/>
              <w:right w:val="single" w:sz="6" w:space="0" w:color="C7D6E5"/>
            </w:tcBorders>
            <w:tcMar>
              <w:top w:w="90" w:type="dxa"/>
              <w:start w:w="120" w:type="dxa"/>
              <w:bottom w:w="90" w:type="dxa"/>
              <w:end w:w="120" w:type="dxa"/>
            </w:tcMar>
          </w:tcPr>
          <w:p>
            <w:pPr>
              <w:spacing w:after="0" w:line="252" w:lineRule="auto"/>
              <w:jc w:val="left"/>
            </w:pPr>
            <w:r>
              <w:rPr>
                <w:rFonts w:ascii="Times New Roman" w:hAnsi="Times New Roman"/>
                <w:color w:val="1F1F1F"/>
                <w:sz w:val="20"/>
              </w:rPr>
              <w:t>Wilayah perkotaan dengan aktivitas penduduk yang tinggi</w:t>
            </w:r>
          </w:p>
        </w:tc>
      </w:tr>
    </w:tbl>
    <w:p>
      <w:pPr>
        <w:spacing w:after="60"/>
      </w:pPr>
    </w:p>
    <w:p>
      <w:pPr>
        <w:keepNext/>
        <w:spacing w:before="200" w:after="100"/>
      </w:pPr>
      <w:r>
        <w:rPr>
          <w:rFonts w:ascii="Times New Roman" w:hAnsi="Times New Roman"/>
          <w:b/>
          <w:color w:val="1F4E79"/>
          <w:sz w:val="26"/>
        </w:rPr>
        <w:t>5. Kepadatan dan Karakter Perkotaan</w:t>
      </w:r>
    </w:p>
    <w:p>
      <w:pPr>
        <w:spacing w:line="276" w:lineRule="auto" w:after="140"/>
      </w:pPr>
      <w:r>
        <w:rPr>
          <w:rFonts w:ascii="Times New Roman" w:hAnsi="Times New Roman"/>
          <w:color w:val="1F1F1F"/>
          <w:sz w:val="22"/>
        </w:rPr>
        <w:t>Dengan luas wilayah 197,22 km persegi dan penduduk lebih dari satu juta jiwa, Kota Bandar Lampung dapat dilihat sebagai wilayah perkotaan yang padat dan dinamis. Aktivitas masyarakat tidak hanya berlangsung di pusat pemerintahan, tetapi juga tersebar pada kawasan permukiman, perdagangan, pendidikan, dan jasa. Kondisi ini membuat pengelolaan ruang kota dan layanan dasar perlu dilakukan secara terencana sesuai karakter masing-masing wilayah (BPS Kota Bandar Lampung, 2025).</w:t>
      </w:r>
    </w:p>
    <w:p>
      <w:pPr>
        <w:keepNext/>
        <w:spacing w:before="200" w:after="100"/>
      </w:pPr>
      <w:r>
        <w:rPr>
          <w:rFonts w:ascii="Times New Roman" w:hAnsi="Times New Roman"/>
          <w:b/>
          <w:color w:val="1F4E79"/>
          <w:sz w:val="26"/>
        </w:rPr>
        <w:t>6. Fasilitas Pendidikan</w:t>
      </w:r>
    </w:p>
    <w:p>
      <w:pPr>
        <w:spacing w:line="276" w:lineRule="auto" w:after="140"/>
      </w:pPr>
      <w:r>
        <w:rPr>
          <w:rFonts w:ascii="Times New Roman" w:hAnsi="Times New Roman"/>
          <w:color w:val="1F1F1F"/>
          <w:sz w:val="22"/>
        </w:rPr>
        <w:t>BPS Kota Bandar Lampung mencatat keberadaan fasilitas pendidikan pada berbagai jenjang di wilayah kota. Sebagai ibu kota provinsi, Bandar Lampung memiliki fungsi penting sebagai pusat pendidikan bagi masyarakat kota maupun wilayah sekitar. Keberadaan fasilitas pendidikan tersebut memperkuat peran Bandar Lampung sebagai salah satu pusat aktivitas sosial dan pengembangan sumber daya manusia di Provinsi Lampung (BPS Kota Bandar Lampung, 2025).</w:t>
      </w:r>
    </w:p>
    <w:p>
      <w:pPr>
        <w:keepNext/>
        <w:spacing w:before="200" w:after="100"/>
      </w:pPr>
      <w:r>
        <w:rPr>
          <w:rFonts w:ascii="Times New Roman" w:hAnsi="Times New Roman"/>
          <w:b/>
          <w:color w:val="1F4E79"/>
          <w:sz w:val="26"/>
        </w:rPr>
        <w:t>7. Fasilitas Kesehatan dan Layanan Dasar</w:t>
      </w:r>
    </w:p>
    <w:p>
      <w:pPr>
        <w:spacing w:line="276" w:lineRule="auto" w:after="140"/>
      </w:pPr>
      <w:r>
        <w:rPr>
          <w:rFonts w:ascii="Times New Roman" w:hAnsi="Times New Roman"/>
          <w:color w:val="1F1F1F"/>
          <w:sz w:val="22"/>
        </w:rPr>
        <w:t>Selain pendidikan, Kota Bandar Lampung juga memiliki fasilitas kesehatan dan layanan dasar yang melayani kebutuhan masyarakat. Data BPS mengenai fasilitas kesehatan dapat digunakan untuk melihat kapasitas wilayah dalam menyediakan layanan publik dasar. Dalam profil daerah, informasi ini penting karena kualitas layanan kesehatan dan akses terhadap fasilitas dasar merupakan bagian dari gambaran umum kesejahteraan wilayah perkotaan (BPS Kota Bandar Lampung, 2025).</w:t>
      </w:r>
    </w:p>
    <w:p>
      <w:pPr>
        <w:keepNext/>
        <w:spacing w:before="200" w:after="100"/>
      </w:pPr>
      <w:r>
        <w:rPr>
          <w:rFonts w:ascii="Times New Roman" w:hAnsi="Times New Roman"/>
          <w:b/>
          <w:color w:val="1F4E79"/>
          <w:sz w:val="26"/>
        </w:rPr>
        <w:t>8. Aktivitas Ekonomi dan Perdagangan</w:t>
      </w:r>
    </w:p>
    <w:p>
      <w:pPr>
        <w:spacing w:line="276" w:lineRule="auto" w:after="140"/>
      </w:pPr>
      <w:r>
        <w:rPr>
          <w:rFonts w:ascii="Times New Roman" w:hAnsi="Times New Roman"/>
          <w:color w:val="1F1F1F"/>
          <w:sz w:val="22"/>
        </w:rPr>
        <w:t>Kota Bandar Lampung memiliki peran sebagai pusat perdagangan dan jasa di Provinsi Lampung. Aktivitas ekonomi berlangsung melalui pasar, pertokoan, jasa, dan berbagai kegiatan usaha masyarakat yang tersebar di beberapa kawasan kota. Data BPS tentang sarana ekonomi dan perdagangan dapat digunakan untuk memahami fungsi Bandar Lampung sebagai pusat aktivitas ekonomi regional (BPS Kota Bandar Lampung, 2025).</w:t>
      </w:r>
    </w:p>
    <w:p>
      <w:pPr>
        <w:keepNext/>
        <w:spacing w:before="200" w:after="100"/>
      </w:pPr>
      <w:r>
        <w:rPr>
          <w:rFonts w:ascii="Times New Roman" w:hAnsi="Times New Roman"/>
          <w:b/>
          <w:color w:val="1F4E79"/>
          <w:sz w:val="26"/>
        </w:rPr>
        <w:t>9. Ringkasan Profil Daerah</w:t>
      </w:r>
    </w:p>
    <w:p>
      <w:pPr>
        <w:spacing w:line="276" w:lineRule="auto" w:after="140"/>
      </w:pPr>
      <w:r>
        <w:rPr>
          <w:rFonts w:ascii="Times New Roman" w:hAnsi="Times New Roman"/>
          <w:color w:val="1F1F1F"/>
          <w:sz w:val="22"/>
        </w:rPr>
        <w:t>Secara umum, Kota Bandar Lampung merupakan ibu kota provinsi dengan luas wilayah 197,22 km persegi, terdiri dari 20 kecamatan dan 126 kelurahan, serta memiliki penduduk 1.077.664 jiwa pada tahun 2024. Berdasarkan data BPS, kota ini memiliki fungsi penting sebagai pusat pemerintahan, layanan pendidikan, kesehatan, perdagangan, dan jasa. Profil ini menjadi dasar untuk memahami karakter wilayah Kota Bandar Lampung secara objektif tanpa mengaitkannya dengan konteks dokumen tertentu.</w:t>
      </w:r>
    </w:p>
    <w:p>
      <w:pPr>
        <w:spacing w:before="80" w:after="280"/>
        <w:jc w:val="center"/>
      </w:pPr>
      <w:r>
        <w:rPr>
          <w:rFonts w:ascii="Times New Roman" w:hAnsi="Times New Roman"/>
          <w:b/>
          <w:color w:val="1F4E79"/>
          <w:sz w:val="32"/>
        </w:rPr>
        <w:t>DAFTAR PUSTAKA</w:t>
      </w:r>
    </w:p>
    <w:p>
      <w:pPr>
        <w:spacing w:after="100" w:line="252" w:lineRule="auto"/>
      </w:pPr>
      <w:r>
        <w:rPr>
          <w:rFonts w:ascii="Times New Roman" w:hAnsi="Times New Roman"/>
          <w:color w:val="1F1F1F"/>
          <w:sz w:val="21"/>
        </w:rPr>
        <w:t>Badan Pusat Statistik Kota Bandar Lampung. (2025). Kota Bandar Lampung Dalam Angka 2025. Bandar Lampung: BPS Kota Bandar Lampung. Diakses dari: https://bandarlampungkota.bps.go.id/id/publication/2025/02/28/2eefa875982a6dbe0a1d4b50/kota-bandar-lampung-dalam-angka-2025.html</w:t>
      </w:r>
    </w:p>
    <w:p>
      <w:pPr>
        <w:spacing w:after="100" w:line="252" w:lineRule="auto"/>
      </w:pPr>
      <w:r>
        <w:rPr>
          <w:rFonts w:ascii="Times New Roman" w:hAnsi="Times New Roman"/>
          <w:color w:val="1F1F1F"/>
          <w:sz w:val="21"/>
        </w:rPr>
        <w:t>Badan Pusat Statistik Kota Bandar Lampung. (2025). Jumlah Penduduk Menurut Kecamatan (Jiwa), 2024. Diakses dari: https://bandarlampungkota.bps.go.id/id/statistics-table/2/MjkjMg%3D%3D/jumlah-penduduk.html</w:t>
      </w:r>
    </w:p>
    <w:p>
      <w:pPr>
        <w:spacing w:after="100" w:line="252" w:lineRule="auto"/>
      </w:pPr>
      <w:r>
        <w:rPr>
          <w:rFonts w:ascii="Times New Roman" w:hAnsi="Times New Roman"/>
          <w:color w:val="1F1F1F"/>
          <w:sz w:val="21"/>
        </w:rPr>
        <w:t>Badan Pusat Statistik Kota Bandar Lampung. (2025). Jumlah Desa/Kelurahan Menurut Kecamatan di Kota Bandar Lampung, 2024. Diakses dari: https://bandarlampungkota.bps.go.id/id/statistics-table/3/YkVWWFUyNTJTVTloVGpCeFdFVTNaMk5wUzFaUFFUMDkjMw%3D%3D/jumlah-desa-sup-1--sup--kelurahan-menurut-kecamatan-di-kota-bandar-lampung--2024.html?year=2024</w:t>
      </w:r>
    </w:p>
    <w:p>
      <w:pPr>
        <w:spacing w:after="100" w:line="252" w:lineRule="auto"/>
      </w:pPr>
      <w:r>
        <w:rPr>
          <w:rFonts w:ascii="Times New Roman" w:hAnsi="Times New Roman"/>
          <w:color w:val="1F1F1F"/>
          <w:sz w:val="21"/>
        </w:rPr>
        <w:t>Kozlowski, W., &amp; Suwar, K. (2021). Smart city: Definitions, dimensions, and initiatives. European Research Studies Journal, XXIV(Special Issue 2-1), 509-520. Diakses dari: https://ersj.eu/journal/2442</w:t>
      </w:r>
    </w:p>
    <w:p>
      <w:pPr>
        <w:spacing w:after="100" w:line="252" w:lineRule="auto"/>
      </w:pPr>
      <w:r>
        <w:rPr>
          <w:rFonts w:ascii="Times New Roman" w:hAnsi="Times New Roman"/>
          <w:color w:val="1F1F1F"/>
          <w:sz w:val="21"/>
        </w:rPr>
        <w:t>Sanchez, J., Parnell, G. S., Specking, E., Pohl, E. A., &amp; Buchanan, R. (2023). Smart cities - A structured literature review. Smart Cities, 6(4), 1719-1743. https://doi.org/10.3390/smartcities6040080</w:t>
      </w:r>
    </w:p>
    <w:p>
      <w:pPr>
        <w:spacing w:after="100" w:line="252" w:lineRule="auto"/>
      </w:pPr>
      <w:r>
        <w:rPr>
          <w:rFonts w:ascii="Times New Roman" w:hAnsi="Times New Roman"/>
          <w:color w:val="1F1F1F"/>
          <w:sz w:val="21"/>
        </w:rPr>
        <w:t>Sanchez-Gallegos, D. D., Carrizales-Espinoza, D. E., Torres-Charles, C., &amp; Carretero, J. (2025). Smart cities: A systematic review of emerging technologies. Smart Cities, 8(5), 173. https://doi.org/10.3390/smartcities8050173</w:t>
      </w:r>
    </w:p>
    <w:sectPr w:rsidR="00FC693F" w:rsidRPr="0006063C" w:rsidSect="00034616">
      <w:pgSz w:w="12240" w:h="15840"/>
      <w:pgMar w:top="1123" w:right="1296" w:bottom="112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APSI Teori dan Objek Kota Bandar Lampung</dc:title>
  <dc:subject>Teori Smart City dan Profil Daerah Kota Bandar Lampung</dc:subject>
  <dc:creator>APSI</dc:creator>
  <cp:keywords/>
  <dc:description>Bagian profil daerah menggunakan sumber BPS Kota Bandar Lampung.</dc:description>
  <cp:lastModifiedBy/>
  <cp:revision>1</cp:revision>
  <dcterms:created xsi:type="dcterms:W3CDTF">2013-12-23T23:15:00Z</dcterms:created>
  <dcterms:modified xsi:type="dcterms:W3CDTF">2013-12-23T23:15:00Z</dcterms:modified>
  <cp:category/>
</cp:coreProperties>
</file>