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SMART CITY</w:t>
      </w:r>
    </w:p>
    <w:p>
      <w:pPr>
        <w:pStyle w:val="Heading1"/>
      </w:pPr>
      <w:r>
        <w:rPr>
          <w:rFonts w:ascii="Times New Roman" w:hAnsi="Times New Roman"/>
        </w:rPr>
        <w:t>1. Definisi Smart City</w:t>
      </w:r>
    </w:p>
    <w:p>
      <w:pPr>
        <w:spacing w:line="276" w:lineRule="auto"/>
        <w:ind w:firstLine="567"/>
        <w:jc w:val="both"/>
      </w:pPr>
      <w:r>
        <w:rPr>
          <w:rFonts w:ascii="Times New Roman" w:hAnsi="Times New Roman"/>
          <w:sz w:val="24"/>
        </w:rPr>
        <w:t>Smart city atau kota pintar adalah konsep pembangunan perkotaan yang memanfaatkan Teknologi Informasi dan Komunikasi (TIK), Internet of Things (IoT), kecerdasan buatan (AI), dan analitik data untuk meningkatkan kualitas hidup warga, efisiensi layanan publik, serta keberlanjutan kota secara menyeluruh. Sanchez et al. (2023) mendefinisikan smart city sebagai kota yang menggunakan teknologi canggih dan analitik data untuk meningkatkan kualitas hidup warganya, meningkatkan efisiensi infrastruktur dan layanan, serta mendorong pertumbuhan ekonomi yang berkelanjutan.</w:t>
      </w:r>
    </w:p>
    <w:p>
      <w:pPr>
        <w:spacing w:line="276" w:lineRule="auto"/>
        <w:ind w:firstLine="567"/>
        <w:jc w:val="both"/>
      </w:pPr>
      <w:r>
        <w:rPr>
          <w:rFonts w:ascii="Times New Roman" w:hAnsi="Times New Roman"/>
          <w:sz w:val="24"/>
        </w:rPr>
        <w:t>Kozlowski dan Suwar (2021) menambahkan bahwa smart city sulit didefinisikan secara tunggal karena bersifat multidimensi. Sebagian besar peneliti sepakat bahwa TIK merupakan inti dari konsep ini, namun smart city juga mencakup modal manusia, modal sosial, dan kelembagaan. Sementara itu, dari perspektif teknologi, Sanchez et al. (2025) menegaskan bahwa smart city digerakkan oleh konvergensi IoT, computing continuum (edge-fog-cloud), dan AI yang memungkinkan kota merencanakan tata ruang, mengoptimalkan sumber daya, dan memperkuat tata kelola secara real-time.</w:t>
      </w:r>
    </w:p>
    <w:p>
      <w:pPr>
        <w:pStyle w:val="Heading1"/>
      </w:pPr>
      <w:r>
        <w:rPr>
          <w:rFonts w:ascii="Times New Roman" w:hAnsi="Times New Roman"/>
        </w:rPr>
        <w:t>2. Dimensi dan Komponen Smart City</w:t>
      </w:r>
    </w:p>
    <w:p>
      <w:pPr>
        <w:spacing w:line="276" w:lineRule="auto"/>
        <w:ind w:firstLine="567"/>
        <w:jc w:val="both"/>
      </w:pPr>
      <w:r>
        <w:rPr>
          <w:rFonts w:ascii="Times New Roman" w:hAnsi="Times New Roman"/>
          <w:sz w:val="24"/>
        </w:rPr>
        <w:t>Smart city mencakup enam dimensi utama yang saling berkaitan satu sama lain (Sanchez et al., 2023):</w:t>
      </w:r>
    </w:p>
    <w:p>
      <w:pPr>
        <w:pStyle w:val="ListBullet"/>
        <w:spacing w:line="276" w:lineRule="auto"/>
      </w:pPr>
      <w:r>
        <w:rPr>
          <w:rFonts w:ascii="Times New Roman" w:hAnsi="Times New Roman"/>
          <w:sz w:val="24"/>
        </w:rPr>
        <w:t>Smart Economy: daya saing ekonomi melalui inovasi, kewirausahaan, dan produktivitas berbasis teknologi.</w:t>
      </w:r>
    </w:p>
    <w:p>
      <w:pPr>
        <w:pStyle w:val="ListBullet"/>
        <w:spacing w:line="276" w:lineRule="auto"/>
      </w:pPr>
      <w:r>
        <w:rPr>
          <w:rFonts w:ascii="Times New Roman" w:hAnsi="Times New Roman"/>
          <w:sz w:val="24"/>
        </w:rPr>
        <w:t>Smart Mobility: sistem transportasi yang cerdas, efisien, terintegrasi, dan ramah lingkungan.</w:t>
      </w:r>
    </w:p>
    <w:p>
      <w:pPr>
        <w:pStyle w:val="ListBullet"/>
        <w:spacing w:line="276" w:lineRule="auto"/>
      </w:pPr>
      <w:r>
        <w:rPr>
          <w:rFonts w:ascii="Times New Roman" w:hAnsi="Times New Roman"/>
          <w:sz w:val="24"/>
        </w:rPr>
        <w:t>Smart Environment: pengelolaan sumber daya alam, energi terbarukan, dan pengurangan dampak lingkungan.</w:t>
      </w:r>
    </w:p>
    <w:p>
      <w:pPr>
        <w:pStyle w:val="ListBullet"/>
        <w:spacing w:line="276" w:lineRule="auto"/>
      </w:pPr>
      <w:r>
        <w:rPr>
          <w:rFonts w:ascii="Times New Roman" w:hAnsi="Times New Roman"/>
          <w:sz w:val="24"/>
        </w:rPr>
        <w:t>Smart People: modal manusia, literasi digital, kreativitas, dan partisipasi aktif warga.</w:t>
      </w:r>
    </w:p>
    <w:p>
      <w:pPr>
        <w:pStyle w:val="ListBullet"/>
        <w:spacing w:line="276" w:lineRule="auto"/>
      </w:pPr>
      <w:r>
        <w:rPr>
          <w:rFonts w:ascii="Times New Roman" w:hAnsi="Times New Roman"/>
          <w:sz w:val="24"/>
        </w:rPr>
        <w:t>Smart Living: kualitas hidup warga meliputi layanan kesehatan, keamanan, dan perumahan layak.</w:t>
      </w:r>
    </w:p>
    <w:p>
      <w:pPr>
        <w:pStyle w:val="ListBullet"/>
        <w:spacing w:line="276" w:lineRule="auto"/>
      </w:pPr>
      <w:r>
        <w:rPr>
          <w:rFonts w:ascii="Times New Roman" w:hAnsi="Times New Roman"/>
          <w:sz w:val="24"/>
        </w:rPr>
        <w:t>Smart Governance: tata kelola pemerintahan yang transparan, partisipatif, dan berbasis data digital.</w:t>
      </w:r>
    </w:p>
    <w:p>
      <w:pPr>
        <w:pStyle w:val="Heading1"/>
      </w:pPr>
      <w:r>
        <w:rPr>
          <w:rFonts w:ascii="Times New Roman" w:hAnsi="Times New Roman"/>
        </w:rPr>
        <w:t>3. Tujuan Smart City</w:t>
      </w:r>
    </w:p>
    <w:p>
      <w:pPr>
        <w:spacing w:line="276" w:lineRule="auto"/>
        <w:ind w:firstLine="567"/>
        <w:jc w:val="both"/>
      </w:pPr>
      <w:r>
        <w:rPr>
          <w:rFonts w:ascii="Times New Roman" w:hAnsi="Times New Roman"/>
          <w:sz w:val="24"/>
        </w:rPr>
        <w:t>Tujuan utama smart city bukan sekadar mengadopsi teknologi, melainkan menciptakan kota yang lebih baik bagi seluruh warganya. Kozlowski dan Suwar (2021) menegaskan bahwa pencapaian tujuan smart city membutuhkan kolaborasi antara pemerintah, swasta, akademisi, dan masyarakat sipil. Secara umum, tujuan smart city meliputi:</w:t>
      </w:r>
    </w:p>
    <w:p>
      <w:pPr>
        <w:spacing w:line="276" w:lineRule="auto"/>
        <w:ind w:firstLine="567"/>
        <w:jc w:val="both"/>
      </w:pPr>
      <w:r>
        <w:rPr>
          <w:rFonts w:ascii="Times New Roman" w:hAnsi="Times New Roman"/>
          <w:sz w:val="24"/>
        </w:rPr>
        <w:t>1. Meningkatkan kualitas dan efisiensi layanan publik bagi seluruh lapisan masyarakat.</w:t>
      </w:r>
    </w:p>
    <w:p>
      <w:pPr>
        <w:spacing w:line="276" w:lineRule="auto"/>
        <w:ind w:firstLine="567"/>
        <w:jc w:val="both"/>
      </w:pPr>
      <w:r>
        <w:rPr>
          <w:rFonts w:ascii="Times New Roman" w:hAnsi="Times New Roman"/>
          <w:sz w:val="24"/>
        </w:rPr>
        <w:t>2. Mendorong pertumbuhan ekonomi yang inklusif dan berkelanjutan.</w:t>
      </w:r>
    </w:p>
    <w:p>
      <w:pPr>
        <w:spacing w:line="276" w:lineRule="auto"/>
        <w:ind w:firstLine="567"/>
        <w:jc w:val="both"/>
      </w:pPr>
      <w:r>
        <w:rPr>
          <w:rFonts w:ascii="Times New Roman" w:hAnsi="Times New Roman"/>
          <w:sz w:val="24"/>
        </w:rPr>
        <w:t>3. Mengurangi dampak lingkungan melalui pengelolaan energi dan sumber daya yang efisien.</w:t>
      </w:r>
    </w:p>
    <w:p>
      <w:pPr>
        <w:spacing w:line="276" w:lineRule="auto"/>
        <w:ind w:firstLine="567"/>
        <w:jc w:val="both"/>
      </w:pPr>
      <w:r>
        <w:rPr>
          <w:rFonts w:ascii="Times New Roman" w:hAnsi="Times New Roman"/>
          <w:sz w:val="24"/>
        </w:rPr>
        <w:t>4. Memperkuat keterlibatan dan partisipasi warga dalam pengambilan keputusan kota.</w:t>
      </w:r>
    </w:p>
    <w:p>
      <w:pPr>
        <w:spacing w:line="276" w:lineRule="auto"/>
        <w:ind w:firstLine="567"/>
        <w:jc w:val="both"/>
      </w:pPr>
      <w:r>
        <w:rPr>
          <w:rFonts w:ascii="Times New Roman" w:hAnsi="Times New Roman"/>
          <w:sz w:val="24"/>
        </w:rPr>
        <w:t>5. Meningkatkan keselamatan, keamanan, dan kesejahteraan warga melalui sistem pemantauan cerdas.</w:t>
      </w:r>
    </w:p>
    <w:p>
      <w:pPr>
        <w:pStyle w:val="Heading1"/>
      </w:pPr>
      <w:r>
        <w:rPr>
          <w:rFonts w:ascii="Times New Roman" w:hAnsi="Times New Roman"/>
        </w:rPr>
        <w:t>4. Teknologi Pendukung Smart City</w:t>
      </w:r>
    </w:p>
    <w:p>
      <w:pPr>
        <w:spacing w:line="276" w:lineRule="auto"/>
        <w:ind w:firstLine="567"/>
        <w:jc w:val="both"/>
      </w:pPr>
      <w:r>
        <w:rPr>
          <w:rFonts w:ascii="Times New Roman" w:hAnsi="Times New Roman"/>
          <w:sz w:val="24"/>
        </w:rPr>
        <w:t>Sanchez et al. (2025) mengidentifikasi beberapa teknologi kunci yang menjadi fondasi smart city modern:</w:t>
      </w:r>
    </w:p>
    <w:p>
      <w:pPr>
        <w:pStyle w:val="ListBullet"/>
        <w:spacing w:line="276" w:lineRule="auto"/>
      </w:pPr>
      <w:r>
        <w:rPr>
          <w:rFonts w:ascii="Times New Roman" w:hAnsi="Times New Roman"/>
          <w:sz w:val="24"/>
        </w:rPr>
        <w:t>IoT (Internet of Things): jaringan perangkat yang saling terhubung untuk mengumpulkan data kota secara real-time.</w:t>
      </w:r>
    </w:p>
    <w:p>
      <w:pPr>
        <w:pStyle w:val="ListBullet"/>
        <w:spacing w:line="276" w:lineRule="auto"/>
      </w:pPr>
      <w:r>
        <w:rPr>
          <w:rFonts w:ascii="Times New Roman" w:hAnsi="Times New Roman"/>
          <w:sz w:val="24"/>
        </w:rPr>
        <w:t>Kecerdasan Buatan (AI): menganalisis data besar, memprediksi pola, dan mengotomasi pengambilan keputusan.</w:t>
      </w:r>
    </w:p>
    <w:p>
      <w:pPr>
        <w:pStyle w:val="ListBullet"/>
        <w:spacing w:line="276" w:lineRule="auto"/>
      </w:pPr>
      <w:r>
        <w:rPr>
          <w:rFonts w:ascii="Times New Roman" w:hAnsi="Times New Roman"/>
          <w:sz w:val="24"/>
        </w:rPr>
        <w:t>Big Data &amp; Analitik: mengolah data dari berbagai sumber untuk mendukung kebijakan berbasis bukti.</w:t>
      </w:r>
    </w:p>
    <w:p>
      <w:pPr>
        <w:pStyle w:val="ListBullet"/>
        <w:spacing w:line="276" w:lineRule="auto"/>
      </w:pPr>
      <w:r>
        <w:rPr>
          <w:rFonts w:ascii="Times New Roman" w:hAnsi="Times New Roman"/>
          <w:sz w:val="24"/>
        </w:rPr>
        <w:t>Cloud &amp; Edge Computing: infrastruktur komputasi skalabel untuk memproses data kota secara efisien.</w:t>
      </w:r>
    </w:p>
    <w:p>
      <w:pPr>
        <w:pStyle w:val="ListBullet"/>
        <w:spacing w:line="276" w:lineRule="auto"/>
      </w:pPr>
      <w:r>
        <w:rPr>
          <w:rFonts w:ascii="Times New Roman" w:hAnsi="Times New Roman"/>
          <w:sz w:val="24"/>
        </w:rPr>
        <w:t>Jaringan 5G: konektivitas cepat dan stabil sebagai tulang punggung komunikasi smart city.</w:t>
      </w:r>
    </w:p>
    <w:p>
      <w:pPr>
        <w:pStyle w:val="Heading1"/>
      </w:pPr>
      <w:r>
        <w:rPr>
          <w:rFonts w:ascii="Times New Roman" w:hAnsi="Times New Roman"/>
        </w:rPr>
        <w:t>5. Tantangan Implementasi Smart City</w:t>
      </w:r>
    </w:p>
    <w:p>
      <w:pPr>
        <w:spacing w:line="276" w:lineRule="auto"/>
        <w:ind w:firstLine="567"/>
        <w:jc w:val="both"/>
      </w:pPr>
      <w:r>
        <w:rPr>
          <w:rFonts w:ascii="Times New Roman" w:hAnsi="Times New Roman"/>
          <w:sz w:val="24"/>
        </w:rPr>
        <w:t>Meskipun menawarkan banyak manfaat, smart city menghadapi sejumlah tantangan nyata. Sanchez et al. (2025) menyoroti perlunya tata kelola yang adaptif terhadap kemajuan teknologi untuk mengatasi isu privasi data, etika, dan kesenjangan digital.</w:t>
      </w:r>
    </w:p>
    <w:p>
      <w:pPr>
        <w:spacing w:line="276" w:lineRule="auto"/>
        <w:ind w:firstLine="567"/>
        <w:jc w:val="both"/>
      </w:pPr>
      <w:r>
        <w:rPr>
          <w:rFonts w:ascii="Times New Roman" w:hAnsi="Times New Roman"/>
          <w:sz w:val="24"/>
        </w:rPr>
        <w:t>Tantangan lain meliputi keterbatasan anggaran dan infrastruktur di negara berkembang, rendahnya literasi digital masyarakat, lemahnya kerangka regulasi, serta meningkatnya risiko keamanan siber. Kozlowski dan Suwar (2021) menegaskan bahwa keberhasilan smart city sangat bergantung pada kemampuan pemerintah membangun ekosistem kolaboratif yang melibatkan seluruh pemangku kepentingan.</w:t>
      </w:r>
    </w:p>
    <w:p>
      <w:pPr>
        <w:pStyle w:val="Heading1"/>
      </w:pPr>
      <w:r>
        <w:rPr>
          <w:rFonts w:ascii="Times New Roman" w:hAnsi="Times New Roman"/>
        </w:rPr>
        <w:t>6. Kesimpulan</w:t>
      </w:r>
    </w:p>
    <w:p>
      <w:pPr>
        <w:spacing w:line="276" w:lineRule="auto"/>
        <w:ind w:firstLine="567"/>
        <w:jc w:val="both"/>
      </w:pPr>
      <w:r>
        <w:rPr>
          <w:rFonts w:ascii="Times New Roman" w:hAnsi="Times New Roman"/>
          <w:sz w:val="24"/>
        </w:rPr>
        <w:t>Smart city adalah konsep kota masa depan yang mengintegrasikan teknologi, manusia, dan tata kelola dalam satu ekosistem urban yang cerdas dan berkelanjutan. Konsep ini tidak sekadar soal teknologi canggih, melainkan juga tentang bagaimana kota mampu merespons kebutuhan warganya secara efisien, inklusif, dan berkelanjutan. Keberhasilan smart city membutuhkan sinergi antara teknologi, kebijakan, dan partisipasi aktif seluruh elemen masyarakat.</w:t>
      </w:r>
    </w:p>
    <w:p>
      <w:r>
        <w:br w:type="page"/>
      </w:r>
    </w:p>
    <w:p>
      <w:pPr>
        <w:jc w:val="center"/>
      </w:pPr>
      <w:r>
        <w:rPr>
          <w:rFonts w:ascii="Times New Roman" w:hAnsi="Times New Roman"/>
          <w:b/>
          <w:sz w:val="32"/>
        </w:rPr>
        <w:t>PROFIL DAERAH KOTA BANDAR LAMPUNG</w:t>
      </w:r>
    </w:p>
    <w:p>
      <w:pPr>
        <w:pStyle w:val="Heading1"/>
      </w:pPr>
      <w:r>
        <w:rPr>
          <w:rFonts w:ascii="Times New Roman" w:hAnsi="Times New Roman"/>
        </w:rPr>
        <w:t>1. Identitas Wilayah</w:t>
      </w:r>
    </w:p>
    <w:p>
      <w:pPr>
        <w:spacing w:line="276" w:lineRule="auto"/>
        <w:ind w:firstLine="567"/>
        <w:jc w:val="both"/>
      </w:pPr>
      <w:r>
        <w:rPr>
          <w:rFonts w:ascii="Times New Roman" w:hAnsi="Times New Roman"/>
          <w:sz w:val="24"/>
        </w:rPr>
        <w:t>Kota Bandar Lampung merupakan salah satu kota di Provinsi Lampung yang berfungsi sebagai pusat kegiatan pemerintahan, ekonomi, pendidikan, perdagangan, dan pelayanan masyarakat. Berdasarkan publikasi resmi Badan Pusat Statistik Kota Bandar Lampung, Kota Bandar Lampung Dalam Angka 2025, publikasi ini disusun untuk memberikan gambaran umum mengenai kondisi geografis, kependudukan, sosial ekonomi, dan kondisi pembangunan daerah Kota Bandar Lampung. Oleh karena itu, Kota Bandar Lampung dipilih sebagai objek profil daerah karena data kewilayahannya tersedia secara resmi dan dapat diverifikasi melalui BPS Kota Bandar Lampung (BPS Kota Bandar Lampung, 2025).</w:t>
      </w:r>
    </w:p>
    <w:p>
      <w:pPr>
        <w:pStyle w:val="Heading1"/>
      </w:pPr>
      <w:r>
        <w:rPr>
          <w:rFonts w:ascii="Times New Roman" w:hAnsi="Times New Roman"/>
        </w:rPr>
        <w:t>2. Luas Wilayah Menurut Kecamatan</w:t>
      </w:r>
    </w:p>
    <w:p>
      <w:pPr>
        <w:spacing w:line="276" w:lineRule="auto"/>
        <w:ind w:firstLine="567"/>
        <w:jc w:val="both"/>
      </w:pPr>
      <w:r>
        <w:rPr>
          <w:rFonts w:ascii="Times New Roman" w:hAnsi="Times New Roman"/>
          <w:sz w:val="24"/>
        </w:rPr>
        <w:t>Secara administratif, Kota Bandar Lampung memiliki luas wilayah 183,77 km2. Kecamatan dengan wilayah terluas adalah Sukabumi dengan luas 25,04 km2 atau 13,63% dari luas kota, diikuti Kemiling seluas 21,33 km2 atau 11,61%. Sementara itu, kecamatan dengan wilayah terkecil adalah Tanjung Karang Timur dengan luas 2,07 km2 atau 1,13% dari luas Kota Bandar Lampung. Data luas wilayah menurut kecamatan menjadi dasar penting untuk memahami sebaran ruang kota dan perbedaan skala pelayanan antarwilayah (BPS Kota Bandar Lampung, 2025).</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fill="D9EAF7"/>
          </w:tcPr>
          <w:p>
            <w:r/>
            <w:r>
              <w:rPr>
                <w:rFonts w:ascii="Times New Roman" w:hAnsi="Times New Roman"/>
                <w:b/>
                <w:sz w:val="22"/>
              </w:rPr>
              <w:t>Kecamatan</w:t>
            </w:r>
          </w:p>
        </w:tc>
        <w:tc>
          <w:tcPr>
            <w:tcW w:type="dxa" w:w="3041"/>
            <w:vAlign w:val="center"/>
            <w:shd w:fill="D9EAF7"/>
          </w:tcPr>
          <w:p>
            <w:r/>
            <w:r>
              <w:rPr>
                <w:rFonts w:ascii="Times New Roman" w:hAnsi="Times New Roman"/>
                <w:b/>
                <w:sz w:val="22"/>
              </w:rPr>
              <w:t>Luas wilayah (km2)</w:t>
            </w:r>
          </w:p>
        </w:tc>
        <w:tc>
          <w:tcPr>
            <w:tcW w:type="dxa" w:w="3041"/>
            <w:vAlign w:val="center"/>
            <w:shd w:fill="D9EAF7"/>
          </w:tcPr>
          <w:p>
            <w:r/>
            <w:r>
              <w:rPr>
                <w:rFonts w:ascii="Times New Roman" w:hAnsi="Times New Roman"/>
                <w:b/>
                <w:sz w:val="22"/>
              </w:rPr>
              <w:t>Persentase terhadap kota</w:t>
            </w:r>
          </w:p>
        </w:tc>
      </w:tr>
      <w:tr>
        <w:tc>
          <w:tcPr>
            <w:tcW w:type="dxa" w:w="3041"/>
            <w:vAlign w:val="center"/>
          </w:tcPr>
          <w:p>
            <w:r/>
            <w:r>
              <w:rPr>
                <w:rFonts w:ascii="Times New Roman" w:hAnsi="Times New Roman"/>
                <w:b w:val="0"/>
                <w:sz w:val="22"/>
              </w:rPr>
              <w:t>Teluk Betung Barat</w:t>
            </w:r>
          </w:p>
        </w:tc>
        <w:tc>
          <w:tcPr>
            <w:tcW w:type="dxa" w:w="3041"/>
            <w:vAlign w:val="center"/>
          </w:tcPr>
          <w:p>
            <w:r/>
            <w:r>
              <w:rPr>
                <w:rFonts w:ascii="Times New Roman" w:hAnsi="Times New Roman"/>
                <w:b w:val="0"/>
                <w:sz w:val="22"/>
              </w:rPr>
              <w:t>18,26</w:t>
            </w:r>
          </w:p>
        </w:tc>
        <w:tc>
          <w:tcPr>
            <w:tcW w:type="dxa" w:w="3041"/>
            <w:vAlign w:val="center"/>
          </w:tcPr>
          <w:p>
            <w:r/>
            <w:r>
              <w:rPr>
                <w:rFonts w:ascii="Times New Roman" w:hAnsi="Times New Roman"/>
                <w:b w:val="0"/>
                <w:sz w:val="22"/>
              </w:rPr>
              <w:t>9,94%</w:t>
            </w:r>
          </w:p>
        </w:tc>
      </w:tr>
      <w:tr>
        <w:tc>
          <w:tcPr>
            <w:tcW w:type="dxa" w:w="3041"/>
            <w:vAlign w:val="center"/>
          </w:tcPr>
          <w:p>
            <w:r/>
            <w:r>
              <w:rPr>
                <w:rFonts w:ascii="Times New Roman" w:hAnsi="Times New Roman"/>
                <w:b w:val="0"/>
                <w:sz w:val="22"/>
              </w:rPr>
              <w:t>Teluk Betung Timur</w:t>
            </w:r>
          </w:p>
        </w:tc>
        <w:tc>
          <w:tcPr>
            <w:tcW w:type="dxa" w:w="3041"/>
            <w:vAlign w:val="center"/>
          </w:tcPr>
          <w:p>
            <w:r/>
            <w:r>
              <w:rPr>
                <w:rFonts w:ascii="Times New Roman" w:hAnsi="Times New Roman"/>
                <w:b w:val="0"/>
                <w:sz w:val="22"/>
              </w:rPr>
              <w:t>10,39</w:t>
            </w:r>
          </w:p>
        </w:tc>
        <w:tc>
          <w:tcPr>
            <w:tcW w:type="dxa" w:w="3041"/>
            <w:vAlign w:val="center"/>
          </w:tcPr>
          <w:p>
            <w:r/>
            <w:r>
              <w:rPr>
                <w:rFonts w:ascii="Times New Roman" w:hAnsi="Times New Roman"/>
                <w:b w:val="0"/>
                <w:sz w:val="22"/>
              </w:rPr>
              <w:t>5,65%</w:t>
            </w:r>
          </w:p>
        </w:tc>
      </w:tr>
      <w:tr>
        <w:tc>
          <w:tcPr>
            <w:tcW w:type="dxa" w:w="3041"/>
            <w:vAlign w:val="center"/>
          </w:tcPr>
          <w:p>
            <w:r/>
            <w:r>
              <w:rPr>
                <w:rFonts w:ascii="Times New Roman" w:hAnsi="Times New Roman"/>
                <w:b w:val="0"/>
                <w:sz w:val="22"/>
              </w:rPr>
              <w:t>Teluk Betung Selatan</w:t>
            </w:r>
          </w:p>
        </w:tc>
        <w:tc>
          <w:tcPr>
            <w:tcW w:type="dxa" w:w="3041"/>
            <w:vAlign w:val="center"/>
          </w:tcPr>
          <w:p>
            <w:r/>
            <w:r>
              <w:rPr>
                <w:rFonts w:ascii="Times New Roman" w:hAnsi="Times New Roman"/>
                <w:b w:val="0"/>
                <w:sz w:val="22"/>
              </w:rPr>
              <w:t>3,49</w:t>
            </w:r>
          </w:p>
        </w:tc>
        <w:tc>
          <w:tcPr>
            <w:tcW w:type="dxa" w:w="3041"/>
            <w:vAlign w:val="center"/>
          </w:tcPr>
          <w:p>
            <w:r/>
            <w:r>
              <w:rPr>
                <w:rFonts w:ascii="Times New Roman" w:hAnsi="Times New Roman"/>
                <w:b w:val="0"/>
                <w:sz w:val="22"/>
              </w:rPr>
              <w:t>1,90%</w:t>
            </w:r>
          </w:p>
        </w:tc>
      </w:tr>
      <w:tr>
        <w:tc>
          <w:tcPr>
            <w:tcW w:type="dxa" w:w="3041"/>
            <w:vAlign w:val="center"/>
          </w:tcPr>
          <w:p>
            <w:r/>
            <w:r>
              <w:rPr>
                <w:rFonts w:ascii="Times New Roman" w:hAnsi="Times New Roman"/>
                <w:b w:val="0"/>
                <w:sz w:val="22"/>
              </w:rPr>
              <w:t>Bumi Waras</w:t>
            </w:r>
          </w:p>
        </w:tc>
        <w:tc>
          <w:tcPr>
            <w:tcW w:type="dxa" w:w="3041"/>
            <w:vAlign w:val="center"/>
          </w:tcPr>
          <w:p>
            <w:r/>
            <w:r>
              <w:rPr>
                <w:rFonts w:ascii="Times New Roman" w:hAnsi="Times New Roman"/>
                <w:b w:val="0"/>
                <w:sz w:val="22"/>
              </w:rPr>
              <w:t>4,52</w:t>
            </w:r>
          </w:p>
        </w:tc>
        <w:tc>
          <w:tcPr>
            <w:tcW w:type="dxa" w:w="3041"/>
            <w:vAlign w:val="center"/>
          </w:tcPr>
          <w:p>
            <w:r/>
            <w:r>
              <w:rPr>
                <w:rFonts w:ascii="Times New Roman" w:hAnsi="Times New Roman"/>
                <w:b w:val="0"/>
                <w:sz w:val="22"/>
              </w:rPr>
              <w:t>2,46%</w:t>
            </w:r>
          </w:p>
        </w:tc>
      </w:tr>
      <w:tr>
        <w:tc>
          <w:tcPr>
            <w:tcW w:type="dxa" w:w="3041"/>
            <w:vAlign w:val="center"/>
          </w:tcPr>
          <w:p>
            <w:r/>
            <w:r>
              <w:rPr>
                <w:rFonts w:ascii="Times New Roman" w:hAnsi="Times New Roman"/>
                <w:b w:val="0"/>
                <w:sz w:val="22"/>
              </w:rPr>
              <w:t>Panjang</w:t>
            </w:r>
          </w:p>
        </w:tc>
        <w:tc>
          <w:tcPr>
            <w:tcW w:type="dxa" w:w="3041"/>
            <w:vAlign w:val="center"/>
          </w:tcPr>
          <w:p>
            <w:r/>
            <w:r>
              <w:rPr>
                <w:rFonts w:ascii="Times New Roman" w:hAnsi="Times New Roman"/>
                <w:b w:val="0"/>
                <w:sz w:val="22"/>
              </w:rPr>
              <w:t>13,64</w:t>
            </w:r>
          </w:p>
        </w:tc>
        <w:tc>
          <w:tcPr>
            <w:tcW w:type="dxa" w:w="3041"/>
            <w:vAlign w:val="center"/>
          </w:tcPr>
          <w:p>
            <w:r/>
            <w:r>
              <w:rPr>
                <w:rFonts w:ascii="Times New Roman" w:hAnsi="Times New Roman"/>
                <w:b w:val="0"/>
                <w:sz w:val="22"/>
              </w:rPr>
              <w:t>7,42%</w:t>
            </w:r>
          </w:p>
        </w:tc>
      </w:tr>
      <w:tr>
        <w:tc>
          <w:tcPr>
            <w:tcW w:type="dxa" w:w="3041"/>
            <w:vAlign w:val="center"/>
          </w:tcPr>
          <w:p>
            <w:r/>
            <w:r>
              <w:rPr>
                <w:rFonts w:ascii="Times New Roman" w:hAnsi="Times New Roman"/>
                <w:b w:val="0"/>
                <w:sz w:val="22"/>
              </w:rPr>
              <w:t>Tanjung Karang Timur</w:t>
            </w:r>
          </w:p>
        </w:tc>
        <w:tc>
          <w:tcPr>
            <w:tcW w:type="dxa" w:w="3041"/>
            <w:vAlign w:val="center"/>
          </w:tcPr>
          <w:p>
            <w:r/>
            <w:r>
              <w:rPr>
                <w:rFonts w:ascii="Times New Roman" w:hAnsi="Times New Roman"/>
                <w:b w:val="0"/>
                <w:sz w:val="22"/>
              </w:rPr>
              <w:t>2,07</w:t>
            </w:r>
          </w:p>
        </w:tc>
        <w:tc>
          <w:tcPr>
            <w:tcW w:type="dxa" w:w="3041"/>
            <w:vAlign w:val="center"/>
          </w:tcPr>
          <w:p>
            <w:r/>
            <w:r>
              <w:rPr>
                <w:rFonts w:ascii="Times New Roman" w:hAnsi="Times New Roman"/>
                <w:b w:val="0"/>
                <w:sz w:val="22"/>
              </w:rPr>
              <w:t>1,13%</w:t>
            </w:r>
          </w:p>
        </w:tc>
      </w:tr>
      <w:tr>
        <w:tc>
          <w:tcPr>
            <w:tcW w:type="dxa" w:w="3041"/>
            <w:vAlign w:val="center"/>
          </w:tcPr>
          <w:p>
            <w:r/>
            <w:r>
              <w:rPr>
                <w:rFonts w:ascii="Times New Roman" w:hAnsi="Times New Roman"/>
                <w:b w:val="0"/>
                <w:sz w:val="22"/>
              </w:rPr>
              <w:t>Kedamaian</w:t>
            </w:r>
          </w:p>
        </w:tc>
        <w:tc>
          <w:tcPr>
            <w:tcW w:type="dxa" w:w="3041"/>
            <w:vAlign w:val="center"/>
          </w:tcPr>
          <w:p>
            <w:r/>
            <w:r>
              <w:rPr>
                <w:rFonts w:ascii="Times New Roman" w:hAnsi="Times New Roman"/>
                <w:b w:val="0"/>
                <w:sz w:val="22"/>
              </w:rPr>
              <w:t>8,34</w:t>
            </w:r>
          </w:p>
        </w:tc>
        <w:tc>
          <w:tcPr>
            <w:tcW w:type="dxa" w:w="3041"/>
            <w:vAlign w:val="center"/>
          </w:tcPr>
          <w:p>
            <w:r/>
            <w:r>
              <w:rPr>
                <w:rFonts w:ascii="Times New Roman" w:hAnsi="Times New Roman"/>
                <w:b w:val="0"/>
                <w:sz w:val="22"/>
              </w:rPr>
              <w:t>4,54%</w:t>
            </w:r>
          </w:p>
        </w:tc>
      </w:tr>
      <w:tr>
        <w:tc>
          <w:tcPr>
            <w:tcW w:type="dxa" w:w="3041"/>
            <w:vAlign w:val="center"/>
          </w:tcPr>
          <w:p>
            <w:r/>
            <w:r>
              <w:rPr>
                <w:rFonts w:ascii="Times New Roman" w:hAnsi="Times New Roman"/>
                <w:b w:val="0"/>
                <w:sz w:val="22"/>
              </w:rPr>
              <w:t>Teluk Betung Utara</w:t>
            </w:r>
          </w:p>
        </w:tc>
        <w:tc>
          <w:tcPr>
            <w:tcW w:type="dxa" w:w="3041"/>
            <w:vAlign w:val="center"/>
          </w:tcPr>
          <w:p>
            <w:r/>
            <w:r>
              <w:rPr>
                <w:rFonts w:ascii="Times New Roman" w:hAnsi="Times New Roman"/>
                <w:b w:val="0"/>
                <w:sz w:val="22"/>
              </w:rPr>
              <w:t>4,38</w:t>
            </w:r>
          </w:p>
        </w:tc>
        <w:tc>
          <w:tcPr>
            <w:tcW w:type="dxa" w:w="3041"/>
            <w:vAlign w:val="center"/>
          </w:tcPr>
          <w:p>
            <w:r/>
            <w:r>
              <w:rPr>
                <w:rFonts w:ascii="Times New Roman" w:hAnsi="Times New Roman"/>
                <w:b w:val="0"/>
                <w:sz w:val="22"/>
              </w:rPr>
              <w:t>2,38%</w:t>
            </w:r>
          </w:p>
        </w:tc>
      </w:tr>
      <w:tr>
        <w:tc>
          <w:tcPr>
            <w:tcW w:type="dxa" w:w="3041"/>
            <w:vAlign w:val="center"/>
          </w:tcPr>
          <w:p>
            <w:r/>
            <w:r>
              <w:rPr>
                <w:rFonts w:ascii="Times New Roman" w:hAnsi="Times New Roman"/>
                <w:b w:val="0"/>
                <w:sz w:val="22"/>
              </w:rPr>
              <w:t>Tanjung Karang Pusat</w:t>
            </w:r>
          </w:p>
        </w:tc>
        <w:tc>
          <w:tcPr>
            <w:tcW w:type="dxa" w:w="3041"/>
            <w:vAlign w:val="center"/>
          </w:tcPr>
          <w:p>
            <w:r/>
            <w:r>
              <w:rPr>
                <w:rFonts w:ascii="Times New Roman" w:hAnsi="Times New Roman"/>
                <w:b w:val="0"/>
                <w:sz w:val="22"/>
              </w:rPr>
              <w:t>3,50</w:t>
            </w:r>
          </w:p>
        </w:tc>
        <w:tc>
          <w:tcPr>
            <w:tcW w:type="dxa" w:w="3041"/>
            <w:vAlign w:val="center"/>
          </w:tcPr>
          <w:p>
            <w:r/>
            <w:r>
              <w:rPr>
                <w:rFonts w:ascii="Times New Roman" w:hAnsi="Times New Roman"/>
                <w:b w:val="0"/>
                <w:sz w:val="22"/>
              </w:rPr>
              <w:t>1,90%</w:t>
            </w:r>
          </w:p>
        </w:tc>
      </w:tr>
      <w:tr>
        <w:tc>
          <w:tcPr>
            <w:tcW w:type="dxa" w:w="3041"/>
            <w:vAlign w:val="center"/>
          </w:tcPr>
          <w:p>
            <w:r/>
            <w:r>
              <w:rPr>
                <w:rFonts w:ascii="Times New Roman" w:hAnsi="Times New Roman"/>
                <w:b w:val="0"/>
                <w:sz w:val="22"/>
              </w:rPr>
              <w:t>Enggal</w:t>
            </w:r>
          </w:p>
        </w:tc>
        <w:tc>
          <w:tcPr>
            <w:tcW w:type="dxa" w:w="3041"/>
            <w:vAlign w:val="center"/>
          </w:tcPr>
          <w:p>
            <w:r/>
            <w:r>
              <w:rPr>
                <w:rFonts w:ascii="Times New Roman" w:hAnsi="Times New Roman"/>
                <w:b w:val="0"/>
                <w:sz w:val="22"/>
              </w:rPr>
              <w:t>2,78</w:t>
            </w:r>
          </w:p>
        </w:tc>
        <w:tc>
          <w:tcPr>
            <w:tcW w:type="dxa" w:w="3041"/>
            <w:vAlign w:val="center"/>
          </w:tcPr>
          <w:p>
            <w:r/>
            <w:r>
              <w:rPr>
                <w:rFonts w:ascii="Times New Roman" w:hAnsi="Times New Roman"/>
                <w:b w:val="0"/>
                <w:sz w:val="22"/>
              </w:rPr>
              <w:t>1,51%</w:t>
            </w:r>
          </w:p>
        </w:tc>
      </w:tr>
      <w:tr>
        <w:tc>
          <w:tcPr>
            <w:tcW w:type="dxa" w:w="3041"/>
            <w:vAlign w:val="center"/>
          </w:tcPr>
          <w:p>
            <w:r/>
            <w:r>
              <w:rPr>
                <w:rFonts w:ascii="Times New Roman" w:hAnsi="Times New Roman"/>
                <w:b w:val="0"/>
                <w:sz w:val="22"/>
              </w:rPr>
              <w:t>Tanjung Karang Barat</w:t>
            </w:r>
          </w:p>
        </w:tc>
        <w:tc>
          <w:tcPr>
            <w:tcW w:type="dxa" w:w="3041"/>
            <w:vAlign w:val="center"/>
          </w:tcPr>
          <w:p>
            <w:r/>
            <w:r>
              <w:rPr>
                <w:rFonts w:ascii="Times New Roman" w:hAnsi="Times New Roman"/>
                <w:b w:val="0"/>
                <w:sz w:val="22"/>
              </w:rPr>
              <w:t>11,54</w:t>
            </w:r>
          </w:p>
        </w:tc>
        <w:tc>
          <w:tcPr>
            <w:tcW w:type="dxa" w:w="3041"/>
            <w:vAlign w:val="center"/>
          </w:tcPr>
          <w:p>
            <w:r/>
            <w:r>
              <w:rPr>
                <w:rFonts w:ascii="Times New Roman" w:hAnsi="Times New Roman"/>
                <w:b w:val="0"/>
                <w:sz w:val="22"/>
              </w:rPr>
              <w:t>6,28%</w:t>
            </w:r>
          </w:p>
        </w:tc>
      </w:tr>
      <w:tr>
        <w:tc>
          <w:tcPr>
            <w:tcW w:type="dxa" w:w="3041"/>
            <w:vAlign w:val="center"/>
          </w:tcPr>
          <w:p>
            <w:r/>
            <w:r>
              <w:rPr>
                <w:rFonts w:ascii="Times New Roman" w:hAnsi="Times New Roman"/>
                <w:b w:val="0"/>
                <w:sz w:val="22"/>
              </w:rPr>
              <w:t>Kemiling</w:t>
            </w:r>
          </w:p>
        </w:tc>
        <w:tc>
          <w:tcPr>
            <w:tcW w:type="dxa" w:w="3041"/>
            <w:vAlign w:val="center"/>
          </w:tcPr>
          <w:p>
            <w:r/>
            <w:r>
              <w:rPr>
                <w:rFonts w:ascii="Times New Roman" w:hAnsi="Times New Roman"/>
                <w:b w:val="0"/>
                <w:sz w:val="22"/>
              </w:rPr>
              <w:t>21,33</w:t>
            </w:r>
          </w:p>
        </w:tc>
        <w:tc>
          <w:tcPr>
            <w:tcW w:type="dxa" w:w="3041"/>
            <w:vAlign w:val="center"/>
          </w:tcPr>
          <w:p>
            <w:r/>
            <w:r>
              <w:rPr>
                <w:rFonts w:ascii="Times New Roman" w:hAnsi="Times New Roman"/>
                <w:b w:val="0"/>
                <w:sz w:val="22"/>
              </w:rPr>
              <w:t>11,61%</w:t>
            </w:r>
          </w:p>
        </w:tc>
      </w:tr>
      <w:tr>
        <w:tc>
          <w:tcPr>
            <w:tcW w:type="dxa" w:w="3041"/>
            <w:vAlign w:val="center"/>
          </w:tcPr>
          <w:p>
            <w:r/>
            <w:r>
              <w:rPr>
                <w:rFonts w:ascii="Times New Roman" w:hAnsi="Times New Roman"/>
                <w:b w:val="0"/>
                <w:sz w:val="22"/>
              </w:rPr>
              <w:t>Langkapura</w:t>
            </w:r>
          </w:p>
        </w:tc>
        <w:tc>
          <w:tcPr>
            <w:tcW w:type="dxa" w:w="3041"/>
            <w:vAlign w:val="center"/>
          </w:tcPr>
          <w:p>
            <w:r/>
            <w:r>
              <w:rPr>
                <w:rFonts w:ascii="Times New Roman" w:hAnsi="Times New Roman"/>
                <w:b w:val="0"/>
                <w:sz w:val="22"/>
              </w:rPr>
              <w:t>5,30</w:t>
            </w:r>
          </w:p>
        </w:tc>
        <w:tc>
          <w:tcPr>
            <w:tcW w:type="dxa" w:w="3041"/>
            <w:vAlign w:val="center"/>
          </w:tcPr>
          <w:p>
            <w:r/>
            <w:r>
              <w:rPr>
                <w:rFonts w:ascii="Times New Roman" w:hAnsi="Times New Roman"/>
                <w:b w:val="0"/>
                <w:sz w:val="22"/>
              </w:rPr>
              <w:t>2,88%</w:t>
            </w:r>
          </w:p>
        </w:tc>
      </w:tr>
      <w:tr>
        <w:tc>
          <w:tcPr>
            <w:tcW w:type="dxa" w:w="3041"/>
            <w:vAlign w:val="center"/>
          </w:tcPr>
          <w:p>
            <w:r/>
            <w:r>
              <w:rPr>
                <w:rFonts w:ascii="Times New Roman" w:hAnsi="Times New Roman"/>
                <w:b w:val="0"/>
                <w:sz w:val="22"/>
              </w:rPr>
              <w:t>Kedaton</w:t>
            </w:r>
          </w:p>
        </w:tc>
        <w:tc>
          <w:tcPr>
            <w:tcW w:type="dxa" w:w="3041"/>
            <w:vAlign w:val="center"/>
          </w:tcPr>
          <w:p>
            <w:r/>
            <w:r>
              <w:rPr>
                <w:rFonts w:ascii="Times New Roman" w:hAnsi="Times New Roman"/>
                <w:b w:val="0"/>
                <w:sz w:val="22"/>
              </w:rPr>
              <w:t>3,77</w:t>
            </w:r>
          </w:p>
        </w:tc>
        <w:tc>
          <w:tcPr>
            <w:tcW w:type="dxa" w:w="3041"/>
            <w:vAlign w:val="center"/>
          </w:tcPr>
          <w:p>
            <w:r/>
            <w:r>
              <w:rPr>
                <w:rFonts w:ascii="Times New Roman" w:hAnsi="Times New Roman"/>
                <w:b w:val="0"/>
                <w:sz w:val="22"/>
              </w:rPr>
              <w:t>2,05%</w:t>
            </w:r>
          </w:p>
        </w:tc>
      </w:tr>
      <w:tr>
        <w:tc>
          <w:tcPr>
            <w:tcW w:type="dxa" w:w="3041"/>
            <w:vAlign w:val="center"/>
          </w:tcPr>
          <w:p>
            <w:r/>
            <w:r>
              <w:rPr>
                <w:rFonts w:ascii="Times New Roman" w:hAnsi="Times New Roman"/>
                <w:b w:val="0"/>
                <w:sz w:val="22"/>
              </w:rPr>
              <w:t>Rajabasa</w:t>
            </w:r>
          </w:p>
        </w:tc>
        <w:tc>
          <w:tcPr>
            <w:tcW w:type="dxa" w:w="3041"/>
            <w:vAlign w:val="center"/>
          </w:tcPr>
          <w:p>
            <w:r/>
            <w:r>
              <w:rPr>
                <w:rFonts w:ascii="Times New Roman" w:hAnsi="Times New Roman"/>
                <w:b w:val="0"/>
                <w:sz w:val="22"/>
              </w:rPr>
              <w:t>12,93</w:t>
            </w:r>
          </w:p>
        </w:tc>
        <w:tc>
          <w:tcPr>
            <w:tcW w:type="dxa" w:w="3041"/>
            <w:vAlign w:val="center"/>
          </w:tcPr>
          <w:p>
            <w:r/>
            <w:r>
              <w:rPr>
                <w:rFonts w:ascii="Times New Roman" w:hAnsi="Times New Roman"/>
                <w:b w:val="0"/>
                <w:sz w:val="22"/>
              </w:rPr>
              <w:t>7,04%</w:t>
            </w:r>
          </w:p>
        </w:tc>
      </w:tr>
      <w:tr>
        <w:tc>
          <w:tcPr>
            <w:tcW w:type="dxa" w:w="3041"/>
            <w:vAlign w:val="center"/>
          </w:tcPr>
          <w:p>
            <w:r/>
            <w:r>
              <w:rPr>
                <w:rFonts w:ascii="Times New Roman" w:hAnsi="Times New Roman"/>
                <w:b w:val="0"/>
                <w:sz w:val="22"/>
              </w:rPr>
              <w:t>Tanjung Senang</w:t>
            </w:r>
          </w:p>
        </w:tc>
        <w:tc>
          <w:tcPr>
            <w:tcW w:type="dxa" w:w="3041"/>
            <w:vAlign w:val="center"/>
          </w:tcPr>
          <w:p>
            <w:r/>
            <w:r>
              <w:rPr>
                <w:rFonts w:ascii="Times New Roman" w:hAnsi="Times New Roman"/>
                <w:b w:val="0"/>
                <w:sz w:val="22"/>
              </w:rPr>
              <w:t>9,24</w:t>
            </w:r>
          </w:p>
        </w:tc>
        <w:tc>
          <w:tcPr>
            <w:tcW w:type="dxa" w:w="3041"/>
            <w:vAlign w:val="center"/>
          </w:tcPr>
          <w:p>
            <w:r/>
            <w:r>
              <w:rPr>
                <w:rFonts w:ascii="Times New Roman" w:hAnsi="Times New Roman"/>
                <w:b w:val="0"/>
                <w:sz w:val="22"/>
              </w:rPr>
              <w:t>5,03%</w:t>
            </w:r>
          </w:p>
        </w:tc>
      </w:tr>
      <w:tr>
        <w:tc>
          <w:tcPr>
            <w:tcW w:type="dxa" w:w="3041"/>
            <w:vAlign w:val="center"/>
          </w:tcPr>
          <w:p>
            <w:r/>
            <w:r>
              <w:rPr>
                <w:rFonts w:ascii="Times New Roman" w:hAnsi="Times New Roman"/>
                <w:b w:val="0"/>
                <w:sz w:val="22"/>
              </w:rPr>
              <w:t>Labuhan Ratu</w:t>
            </w:r>
          </w:p>
        </w:tc>
        <w:tc>
          <w:tcPr>
            <w:tcW w:type="dxa" w:w="3041"/>
            <w:vAlign w:val="center"/>
          </w:tcPr>
          <w:p>
            <w:r/>
            <w:r>
              <w:rPr>
                <w:rFonts w:ascii="Times New Roman" w:hAnsi="Times New Roman"/>
                <w:b w:val="0"/>
                <w:sz w:val="22"/>
              </w:rPr>
              <w:t>6,10</w:t>
            </w:r>
          </w:p>
        </w:tc>
        <w:tc>
          <w:tcPr>
            <w:tcW w:type="dxa" w:w="3041"/>
            <w:vAlign w:val="center"/>
          </w:tcPr>
          <w:p>
            <w:r/>
            <w:r>
              <w:rPr>
                <w:rFonts w:ascii="Times New Roman" w:hAnsi="Times New Roman"/>
                <w:b w:val="0"/>
                <w:sz w:val="22"/>
              </w:rPr>
              <w:t>3,32%</w:t>
            </w:r>
          </w:p>
        </w:tc>
      </w:tr>
      <w:tr>
        <w:tc>
          <w:tcPr>
            <w:tcW w:type="dxa" w:w="3041"/>
            <w:vAlign w:val="center"/>
          </w:tcPr>
          <w:p>
            <w:r/>
            <w:r>
              <w:rPr>
                <w:rFonts w:ascii="Times New Roman" w:hAnsi="Times New Roman"/>
                <w:b w:val="0"/>
                <w:sz w:val="22"/>
              </w:rPr>
              <w:t>Sukarame</w:t>
            </w:r>
          </w:p>
        </w:tc>
        <w:tc>
          <w:tcPr>
            <w:tcW w:type="dxa" w:w="3041"/>
            <w:vAlign w:val="center"/>
          </w:tcPr>
          <w:p>
            <w:r/>
            <w:r>
              <w:rPr>
                <w:rFonts w:ascii="Times New Roman" w:hAnsi="Times New Roman"/>
                <w:b w:val="0"/>
                <w:sz w:val="22"/>
              </w:rPr>
              <w:t>10,92</w:t>
            </w:r>
          </w:p>
        </w:tc>
        <w:tc>
          <w:tcPr>
            <w:tcW w:type="dxa" w:w="3041"/>
            <w:vAlign w:val="center"/>
          </w:tcPr>
          <w:p>
            <w:r/>
            <w:r>
              <w:rPr>
                <w:rFonts w:ascii="Times New Roman" w:hAnsi="Times New Roman"/>
                <w:b w:val="0"/>
                <w:sz w:val="22"/>
              </w:rPr>
              <w:t>5,94%</w:t>
            </w:r>
          </w:p>
        </w:tc>
      </w:tr>
      <w:tr>
        <w:tc>
          <w:tcPr>
            <w:tcW w:type="dxa" w:w="3041"/>
            <w:vAlign w:val="center"/>
          </w:tcPr>
          <w:p>
            <w:r/>
            <w:r>
              <w:rPr>
                <w:rFonts w:ascii="Times New Roman" w:hAnsi="Times New Roman"/>
                <w:b w:val="0"/>
                <w:sz w:val="22"/>
              </w:rPr>
              <w:t>Sukabumi</w:t>
            </w:r>
          </w:p>
        </w:tc>
        <w:tc>
          <w:tcPr>
            <w:tcW w:type="dxa" w:w="3041"/>
            <w:vAlign w:val="center"/>
          </w:tcPr>
          <w:p>
            <w:r/>
            <w:r>
              <w:rPr>
                <w:rFonts w:ascii="Times New Roman" w:hAnsi="Times New Roman"/>
                <w:b w:val="0"/>
                <w:sz w:val="22"/>
              </w:rPr>
              <w:t>25,04</w:t>
            </w:r>
          </w:p>
        </w:tc>
        <w:tc>
          <w:tcPr>
            <w:tcW w:type="dxa" w:w="3041"/>
            <w:vAlign w:val="center"/>
          </w:tcPr>
          <w:p>
            <w:r/>
            <w:r>
              <w:rPr>
                <w:rFonts w:ascii="Times New Roman" w:hAnsi="Times New Roman"/>
                <w:b w:val="0"/>
                <w:sz w:val="22"/>
              </w:rPr>
              <w:t>13,63%</w:t>
            </w:r>
          </w:p>
        </w:tc>
      </w:tr>
      <w:tr>
        <w:tc>
          <w:tcPr>
            <w:tcW w:type="dxa" w:w="3041"/>
            <w:vAlign w:val="center"/>
          </w:tcPr>
          <w:p>
            <w:r/>
            <w:r>
              <w:rPr>
                <w:rFonts w:ascii="Times New Roman" w:hAnsi="Times New Roman"/>
                <w:b w:val="0"/>
                <w:sz w:val="22"/>
              </w:rPr>
              <w:t>Way Halim</w:t>
            </w:r>
          </w:p>
        </w:tc>
        <w:tc>
          <w:tcPr>
            <w:tcW w:type="dxa" w:w="3041"/>
            <w:vAlign w:val="center"/>
          </w:tcPr>
          <w:p>
            <w:r/>
            <w:r>
              <w:rPr>
                <w:rFonts w:ascii="Times New Roman" w:hAnsi="Times New Roman"/>
                <w:b w:val="0"/>
                <w:sz w:val="22"/>
              </w:rPr>
              <w:t>6,25</w:t>
            </w:r>
          </w:p>
        </w:tc>
        <w:tc>
          <w:tcPr>
            <w:tcW w:type="dxa" w:w="3041"/>
            <w:vAlign w:val="center"/>
          </w:tcPr>
          <w:p>
            <w:r/>
            <w:r>
              <w:rPr>
                <w:rFonts w:ascii="Times New Roman" w:hAnsi="Times New Roman"/>
                <w:b w:val="0"/>
                <w:sz w:val="22"/>
              </w:rPr>
              <w:t>3,40%</w:t>
            </w:r>
          </w:p>
        </w:tc>
      </w:tr>
      <w:tr>
        <w:tc>
          <w:tcPr>
            <w:tcW w:type="dxa" w:w="3041"/>
            <w:vAlign w:val="center"/>
          </w:tcPr>
          <w:p>
            <w:r/>
            <w:r>
              <w:rPr>
                <w:rFonts w:ascii="Times New Roman" w:hAnsi="Times New Roman"/>
                <w:b w:val="0"/>
                <w:sz w:val="22"/>
              </w:rPr>
              <w:t>Kota Bandar Lampung</w:t>
            </w:r>
          </w:p>
        </w:tc>
        <w:tc>
          <w:tcPr>
            <w:tcW w:type="dxa" w:w="3041"/>
            <w:vAlign w:val="center"/>
          </w:tcPr>
          <w:p>
            <w:r/>
            <w:r>
              <w:rPr>
                <w:rFonts w:ascii="Times New Roman" w:hAnsi="Times New Roman"/>
                <w:b w:val="0"/>
                <w:sz w:val="22"/>
              </w:rPr>
              <w:t>183,77</w:t>
            </w:r>
          </w:p>
        </w:tc>
        <w:tc>
          <w:tcPr>
            <w:tcW w:type="dxa" w:w="3041"/>
            <w:vAlign w:val="center"/>
          </w:tcPr>
          <w:p>
            <w:r/>
            <w:r>
              <w:rPr>
                <w:rFonts w:ascii="Times New Roman" w:hAnsi="Times New Roman"/>
                <w:b w:val="0"/>
                <w:sz w:val="22"/>
              </w:rPr>
              <w:t>100,00%</w:t>
            </w:r>
          </w:p>
        </w:tc>
      </w:tr>
    </w:tbl>
    <w:p/>
    <w:p>
      <w:pPr>
        <w:pStyle w:val="Heading1"/>
      </w:pPr>
      <w:r>
        <w:rPr>
          <w:rFonts w:ascii="Times New Roman" w:hAnsi="Times New Roman"/>
        </w:rPr>
        <w:t>3. Kondisi Administratif</w:t>
      </w:r>
    </w:p>
    <w:p>
      <w:pPr>
        <w:spacing w:line="276" w:lineRule="auto"/>
        <w:ind w:firstLine="567"/>
        <w:jc w:val="both"/>
      </w:pPr>
      <w:r>
        <w:rPr>
          <w:rFonts w:ascii="Times New Roman" w:hAnsi="Times New Roman"/>
          <w:sz w:val="24"/>
        </w:rPr>
        <w:t>Kota Bandar Lampung terdiri dari 20 kecamatan dan 126 kelurahan. Jumlah kelurahan terbanyak terdapat di Kecamatan Kemiling, yaitu 9 kelurahan, sedangkan beberapa kecamatan lain memiliki 5 sampai 8 kelurahan. Dari sisi topografi administrasi kelurahan, BPS mencatat bahwa terdapat 118 kelurahan yang berada pada wilayah dataran dan 8 kelurahan berada pada wilayah lereng atau puncak. Kondisi administratif ini menunjukkan bahwa Kota Bandar Lampung memiliki struktur wilayah perkotaan yang cukup luas dan beragam (BPS Kota Bandar Lampung, 2025).</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fill="D9EAF7"/>
          </w:tcPr>
          <w:p>
            <w:r/>
            <w:r>
              <w:rPr>
                <w:rFonts w:ascii="Times New Roman" w:hAnsi="Times New Roman"/>
                <w:b/>
                <w:sz w:val="22"/>
              </w:rPr>
              <w:t>Kecamatan</w:t>
            </w:r>
          </w:p>
        </w:tc>
        <w:tc>
          <w:tcPr>
            <w:tcW w:type="dxa" w:w="4561"/>
            <w:vAlign w:val="center"/>
            <w:shd w:fill="D9EAF7"/>
          </w:tcPr>
          <w:p>
            <w:r/>
            <w:r>
              <w:rPr>
                <w:rFonts w:ascii="Times New Roman" w:hAnsi="Times New Roman"/>
                <w:b/>
                <w:sz w:val="22"/>
              </w:rPr>
              <w:t>Jumlah kelurahan</w:t>
            </w:r>
          </w:p>
        </w:tc>
      </w:tr>
      <w:tr>
        <w:tc>
          <w:tcPr>
            <w:tcW w:type="dxa" w:w="4561"/>
            <w:vAlign w:val="center"/>
          </w:tcPr>
          <w:p>
            <w:r/>
            <w:r>
              <w:rPr>
                <w:rFonts w:ascii="Times New Roman" w:hAnsi="Times New Roman"/>
                <w:b w:val="0"/>
                <w:sz w:val="22"/>
              </w:rPr>
              <w:t>Teluk Betung Barat</w:t>
            </w:r>
          </w:p>
        </w:tc>
        <w:tc>
          <w:tcPr>
            <w:tcW w:type="dxa" w:w="4561"/>
            <w:vAlign w:val="center"/>
          </w:tcPr>
          <w:p>
            <w:r/>
            <w:r>
              <w:rPr>
                <w:rFonts w:ascii="Times New Roman" w:hAnsi="Times New Roman"/>
                <w:b w:val="0"/>
                <w:sz w:val="22"/>
              </w:rPr>
              <w:t>5</w:t>
            </w:r>
          </w:p>
        </w:tc>
      </w:tr>
      <w:tr>
        <w:tc>
          <w:tcPr>
            <w:tcW w:type="dxa" w:w="4561"/>
            <w:vAlign w:val="center"/>
          </w:tcPr>
          <w:p>
            <w:r/>
            <w:r>
              <w:rPr>
                <w:rFonts w:ascii="Times New Roman" w:hAnsi="Times New Roman"/>
                <w:b w:val="0"/>
                <w:sz w:val="22"/>
              </w:rPr>
              <w:t>Teluk Betung Timur</w:t>
            </w:r>
          </w:p>
        </w:tc>
        <w:tc>
          <w:tcPr>
            <w:tcW w:type="dxa" w:w="4561"/>
            <w:vAlign w:val="center"/>
          </w:tcPr>
          <w:p>
            <w:r/>
            <w:r>
              <w:rPr>
                <w:rFonts w:ascii="Times New Roman" w:hAnsi="Times New Roman"/>
                <w:b w:val="0"/>
                <w:sz w:val="22"/>
              </w:rPr>
              <w:t>6</w:t>
            </w:r>
          </w:p>
        </w:tc>
      </w:tr>
      <w:tr>
        <w:tc>
          <w:tcPr>
            <w:tcW w:type="dxa" w:w="4561"/>
            <w:vAlign w:val="center"/>
          </w:tcPr>
          <w:p>
            <w:r/>
            <w:r>
              <w:rPr>
                <w:rFonts w:ascii="Times New Roman" w:hAnsi="Times New Roman"/>
                <w:b w:val="0"/>
                <w:sz w:val="22"/>
              </w:rPr>
              <w:t>Teluk Betung Selatan</w:t>
            </w:r>
          </w:p>
        </w:tc>
        <w:tc>
          <w:tcPr>
            <w:tcW w:type="dxa" w:w="4561"/>
            <w:vAlign w:val="center"/>
          </w:tcPr>
          <w:p>
            <w:r/>
            <w:r>
              <w:rPr>
                <w:rFonts w:ascii="Times New Roman" w:hAnsi="Times New Roman"/>
                <w:b w:val="0"/>
                <w:sz w:val="22"/>
              </w:rPr>
              <w:t>6</w:t>
            </w:r>
          </w:p>
        </w:tc>
      </w:tr>
      <w:tr>
        <w:tc>
          <w:tcPr>
            <w:tcW w:type="dxa" w:w="4561"/>
            <w:vAlign w:val="center"/>
          </w:tcPr>
          <w:p>
            <w:r/>
            <w:r>
              <w:rPr>
                <w:rFonts w:ascii="Times New Roman" w:hAnsi="Times New Roman"/>
                <w:b w:val="0"/>
                <w:sz w:val="22"/>
              </w:rPr>
              <w:t>Bumi Waras</w:t>
            </w:r>
          </w:p>
        </w:tc>
        <w:tc>
          <w:tcPr>
            <w:tcW w:type="dxa" w:w="4561"/>
            <w:vAlign w:val="center"/>
          </w:tcPr>
          <w:p>
            <w:r/>
            <w:r>
              <w:rPr>
                <w:rFonts w:ascii="Times New Roman" w:hAnsi="Times New Roman"/>
                <w:b w:val="0"/>
                <w:sz w:val="22"/>
              </w:rPr>
              <w:t>5</w:t>
            </w:r>
          </w:p>
        </w:tc>
      </w:tr>
      <w:tr>
        <w:tc>
          <w:tcPr>
            <w:tcW w:type="dxa" w:w="4561"/>
            <w:vAlign w:val="center"/>
          </w:tcPr>
          <w:p>
            <w:r/>
            <w:r>
              <w:rPr>
                <w:rFonts w:ascii="Times New Roman" w:hAnsi="Times New Roman"/>
                <w:b w:val="0"/>
                <w:sz w:val="22"/>
              </w:rPr>
              <w:t>Panjang</w:t>
            </w:r>
          </w:p>
        </w:tc>
        <w:tc>
          <w:tcPr>
            <w:tcW w:type="dxa" w:w="4561"/>
            <w:vAlign w:val="center"/>
          </w:tcPr>
          <w:p>
            <w:r/>
            <w:r>
              <w:rPr>
                <w:rFonts w:ascii="Times New Roman" w:hAnsi="Times New Roman"/>
                <w:b w:val="0"/>
                <w:sz w:val="22"/>
              </w:rPr>
              <w:t>8</w:t>
            </w:r>
          </w:p>
        </w:tc>
      </w:tr>
      <w:tr>
        <w:tc>
          <w:tcPr>
            <w:tcW w:type="dxa" w:w="4561"/>
            <w:vAlign w:val="center"/>
          </w:tcPr>
          <w:p>
            <w:r/>
            <w:r>
              <w:rPr>
                <w:rFonts w:ascii="Times New Roman" w:hAnsi="Times New Roman"/>
                <w:b w:val="0"/>
                <w:sz w:val="22"/>
              </w:rPr>
              <w:t>Tanjung Karang Timur</w:t>
            </w:r>
          </w:p>
        </w:tc>
        <w:tc>
          <w:tcPr>
            <w:tcW w:type="dxa" w:w="4561"/>
            <w:vAlign w:val="center"/>
          </w:tcPr>
          <w:p>
            <w:r/>
            <w:r>
              <w:rPr>
                <w:rFonts w:ascii="Times New Roman" w:hAnsi="Times New Roman"/>
                <w:b w:val="0"/>
                <w:sz w:val="22"/>
              </w:rPr>
              <w:t>5</w:t>
            </w:r>
          </w:p>
        </w:tc>
      </w:tr>
      <w:tr>
        <w:tc>
          <w:tcPr>
            <w:tcW w:type="dxa" w:w="4561"/>
            <w:vAlign w:val="center"/>
          </w:tcPr>
          <w:p>
            <w:r/>
            <w:r>
              <w:rPr>
                <w:rFonts w:ascii="Times New Roman" w:hAnsi="Times New Roman"/>
                <w:b w:val="0"/>
                <w:sz w:val="22"/>
              </w:rPr>
              <w:t>Kedamaian</w:t>
            </w:r>
          </w:p>
        </w:tc>
        <w:tc>
          <w:tcPr>
            <w:tcW w:type="dxa" w:w="4561"/>
            <w:vAlign w:val="center"/>
          </w:tcPr>
          <w:p>
            <w:r/>
            <w:r>
              <w:rPr>
                <w:rFonts w:ascii="Times New Roman" w:hAnsi="Times New Roman"/>
                <w:b w:val="0"/>
                <w:sz w:val="22"/>
              </w:rPr>
              <w:t>7</w:t>
            </w:r>
          </w:p>
        </w:tc>
      </w:tr>
      <w:tr>
        <w:tc>
          <w:tcPr>
            <w:tcW w:type="dxa" w:w="4561"/>
            <w:vAlign w:val="center"/>
          </w:tcPr>
          <w:p>
            <w:r/>
            <w:r>
              <w:rPr>
                <w:rFonts w:ascii="Times New Roman" w:hAnsi="Times New Roman"/>
                <w:b w:val="0"/>
                <w:sz w:val="22"/>
              </w:rPr>
              <w:t>Teluk Betung Utara</w:t>
            </w:r>
          </w:p>
        </w:tc>
        <w:tc>
          <w:tcPr>
            <w:tcW w:type="dxa" w:w="4561"/>
            <w:vAlign w:val="center"/>
          </w:tcPr>
          <w:p>
            <w:r/>
            <w:r>
              <w:rPr>
                <w:rFonts w:ascii="Times New Roman" w:hAnsi="Times New Roman"/>
                <w:b w:val="0"/>
                <w:sz w:val="22"/>
              </w:rPr>
              <w:t>6</w:t>
            </w:r>
          </w:p>
        </w:tc>
      </w:tr>
      <w:tr>
        <w:tc>
          <w:tcPr>
            <w:tcW w:type="dxa" w:w="4561"/>
            <w:vAlign w:val="center"/>
          </w:tcPr>
          <w:p>
            <w:r/>
            <w:r>
              <w:rPr>
                <w:rFonts w:ascii="Times New Roman" w:hAnsi="Times New Roman"/>
                <w:b w:val="0"/>
                <w:sz w:val="22"/>
              </w:rPr>
              <w:t>Tanjung Karang Pusat</w:t>
            </w:r>
          </w:p>
        </w:tc>
        <w:tc>
          <w:tcPr>
            <w:tcW w:type="dxa" w:w="4561"/>
            <w:vAlign w:val="center"/>
          </w:tcPr>
          <w:p>
            <w:r/>
            <w:r>
              <w:rPr>
                <w:rFonts w:ascii="Times New Roman" w:hAnsi="Times New Roman"/>
                <w:b w:val="0"/>
                <w:sz w:val="22"/>
              </w:rPr>
              <w:t>7</w:t>
            </w:r>
          </w:p>
        </w:tc>
      </w:tr>
      <w:tr>
        <w:tc>
          <w:tcPr>
            <w:tcW w:type="dxa" w:w="4561"/>
            <w:vAlign w:val="center"/>
          </w:tcPr>
          <w:p>
            <w:r/>
            <w:r>
              <w:rPr>
                <w:rFonts w:ascii="Times New Roman" w:hAnsi="Times New Roman"/>
                <w:b w:val="0"/>
                <w:sz w:val="22"/>
              </w:rPr>
              <w:t>Enggal</w:t>
            </w:r>
          </w:p>
        </w:tc>
        <w:tc>
          <w:tcPr>
            <w:tcW w:type="dxa" w:w="4561"/>
            <w:vAlign w:val="center"/>
          </w:tcPr>
          <w:p>
            <w:r/>
            <w:r>
              <w:rPr>
                <w:rFonts w:ascii="Times New Roman" w:hAnsi="Times New Roman"/>
                <w:b w:val="0"/>
                <w:sz w:val="22"/>
              </w:rPr>
              <w:t>6</w:t>
            </w:r>
          </w:p>
        </w:tc>
      </w:tr>
      <w:tr>
        <w:tc>
          <w:tcPr>
            <w:tcW w:type="dxa" w:w="4561"/>
            <w:vAlign w:val="center"/>
          </w:tcPr>
          <w:p>
            <w:r/>
            <w:r>
              <w:rPr>
                <w:rFonts w:ascii="Times New Roman" w:hAnsi="Times New Roman"/>
                <w:b w:val="0"/>
                <w:sz w:val="22"/>
              </w:rPr>
              <w:t>Tanjung Karang Barat</w:t>
            </w:r>
          </w:p>
        </w:tc>
        <w:tc>
          <w:tcPr>
            <w:tcW w:type="dxa" w:w="4561"/>
            <w:vAlign w:val="center"/>
          </w:tcPr>
          <w:p>
            <w:r/>
            <w:r>
              <w:rPr>
                <w:rFonts w:ascii="Times New Roman" w:hAnsi="Times New Roman"/>
                <w:b w:val="0"/>
                <w:sz w:val="22"/>
              </w:rPr>
              <w:t>7</w:t>
            </w:r>
          </w:p>
        </w:tc>
      </w:tr>
      <w:tr>
        <w:tc>
          <w:tcPr>
            <w:tcW w:type="dxa" w:w="4561"/>
            <w:vAlign w:val="center"/>
          </w:tcPr>
          <w:p>
            <w:r/>
            <w:r>
              <w:rPr>
                <w:rFonts w:ascii="Times New Roman" w:hAnsi="Times New Roman"/>
                <w:b w:val="0"/>
                <w:sz w:val="22"/>
              </w:rPr>
              <w:t>Kemiling</w:t>
            </w:r>
          </w:p>
        </w:tc>
        <w:tc>
          <w:tcPr>
            <w:tcW w:type="dxa" w:w="4561"/>
            <w:vAlign w:val="center"/>
          </w:tcPr>
          <w:p>
            <w:r/>
            <w:r>
              <w:rPr>
                <w:rFonts w:ascii="Times New Roman" w:hAnsi="Times New Roman"/>
                <w:b w:val="0"/>
                <w:sz w:val="22"/>
              </w:rPr>
              <w:t>9</w:t>
            </w:r>
          </w:p>
        </w:tc>
      </w:tr>
      <w:tr>
        <w:tc>
          <w:tcPr>
            <w:tcW w:type="dxa" w:w="4561"/>
            <w:vAlign w:val="center"/>
          </w:tcPr>
          <w:p>
            <w:r/>
            <w:r>
              <w:rPr>
                <w:rFonts w:ascii="Times New Roman" w:hAnsi="Times New Roman"/>
                <w:b w:val="0"/>
                <w:sz w:val="22"/>
              </w:rPr>
              <w:t>Langkapura</w:t>
            </w:r>
          </w:p>
        </w:tc>
        <w:tc>
          <w:tcPr>
            <w:tcW w:type="dxa" w:w="4561"/>
            <w:vAlign w:val="center"/>
          </w:tcPr>
          <w:p>
            <w:r/>
            <w:r>
              <w:rPr>
                <w:rFonts w:ascii="Times New Roman" w:hAnsi="Times New Roman"/>
                <w:b w:val="0"/>
                <w:sz w:val="22"/>
              </w:rPr>
              <w:t>5</w:t>
            </w:r>
          </w:p>
        </w:tc>
      </w:tr>
      <w:tr>
        <w:tc>
          <w:tcPr>
            <w:tcW w:type="dxa" w:w="4561"/>
            <w:vAlign w:val="center"/>
          </w:tcPr>
          <w:p>
            <w:r/>
            <w:r>
              <w:rPr>
                <w:rFonts w:ascii="Times New Roman" w:hAnsi="Times New Roman"/>
                <w:b w:val="0"/>
                <w:sz w:val="22"/>
              </w:rPr>
              <w:t>Kedaton</w:t>
            </w:r>
          </w:p>
        </w:tc>
        <w:tc>
          <w:tcPr>
            <w:tcW w:type="dxa" w:w="4561"/>
            <w:vAlign w:val="center"/>
          </w:tcPr>
          <w:p>
            <w:r/>
            <w:r>
              <w:rPr>
                <w:rFonts w:ascii="Times New Roman" w:hAnsi="Times New Roman"/>
                <w:b w:val="0"/>
                <w:sz w:val="22"/>
              </w:rPr>
              <w:t>7</w:t>
            </w:r>
          </w:p>
        </w:tc>
      </w:tr>
      <w:tr>
        <w:tc>
          <w:tcPr>
            <w:tcW w:type="dxa" w:w="4561"/>
            <w:vAlign w:val="center"/>
          </w:tcPr>
          <w:p>
            <w:r/>
            <w:r>
              <w:rPr>
                <w:rFonts w:ascii="Times New Roman" w:hAnsi="Times New Roman"/>
                <w:b w:val="0"/>
                <w:sz w:val="22"/>
              </w:rPr>
              <w:t>Rajabasa</w:t>
            </w:r>
          </w:p>
        </w:tc>
        <w:tc>
          <w:tcPr>
            <w:tcW w:type="dxa" w:w="4561"/>
            <w:vAlign w:val="center"/>
          </w:tcPr>
          <w:p>
            <w:r/>
            <w:r>
              <w:rPr>
                <w:rFonts w:ascii="Times New Roman" w:hAnsi="Times New Roman"/>
                <w:b w:val="0"/>
                <w:sz w:val="22"/>
              </w:rPr>
              <w:t>7</w:t>
            </w:r>
          </w:p>
        </w:tc>
      </w:tr>
      <w:tr>
        <w:tc>
          <w:tcPr>
            <w:tcW w:type="dxa" w:w="4561"/>
            <w:vAlign w:val="center"/>
          </w:tcPr>
          <w:p>
            <w:r/>
            <w:r>
              <w:rPr>
                <w:rFonts w:ascii="Times New Roman" w:hAnsi="Times New Roman"/>
                <w:b w:val="0"/>
                <w:sz w:val="22"/>
              </w:rPr>
              <w:t>Tanjung Senang</w:t>
            </w:r>
          </w:p>
        </w:tc>
        <w:tc>
          <w:tcPr>
            <w:tcW w:type="dxa" w:w="4561"/>
            <w:vAlign w:val="center"/>
          </w:tcPr>
          <w:p>
            <w:r/>
            <w:r>
              <w:rPr>
                <w:rFonts w:ascii="Times New Roman" w:hAnsi="Times New Roman"/>
                <w:b w:val="0"/>
                <w:sz w:val="22"/>
              </w:rPr>
              <w:t>5</w:t>
            </w:r>
          </w:p>
        </w:tc>
      </w:tr>
      <w:tr>
        <w:tc>
          <w:tcPr>
            <w:tcW w:type="dxa" w:w="4561"/>
            <w:vAlign w:val="center"/>
          </w:tcPr>
          <w:p>
            <w:r/>
            <w:r>
              <w:rPr>
                <w:rFonts w:ascii="Times New Roman" w:hAnsi="Times New Roman"/>
                <w:b w:val="0"/>
                <w:sz w:val="22"/>
              </w:rPr>
              <w:t>Labuhan Ratu</w:t>
            </w:r>
          </w:p>
        </w:tc>
        <w:tc>
          <w:tcPr>
            <w:tcW w:type="dxa" w:w="4561"/>
            <w:vAlign w:val="center"/>
          </w:tcPr>
          <w:p>
            <w:r/>
            <w:r>
              <w:rPr>
                <w:rFonts w:ascii="Times New Roman" w:hAnsi="Times New Roman"/>
                <w:b w:val="0"/>
                <w:sz w:val="22"/>
              </w:rPr>
              <w:t>6</w:t>
            </w:r>
          </w:p>
        </w:tc>
      </w:tr>
      <w:tr>
        <w:tc>
          <w:tcPr>
            <w:tcW w:type="dxa" w:w="4561"/>
            <w:vAlign w:val="center"/>
          </w:tcPr>
          <w:p>
            <w:r/>
            <w:r>
              <w:rPr>
                <w:rFonts w:ascii="Times New Roman" w:hAnsi="Times New Roman"/>
                <w:b w:val="0"/>
                <w:sz w:val="22"/>
              </w:rPr>
              <w:t>Sukarame</w:t>
            </w:r>
          </w:p>
        </w:tc>
        <w:tc>
          <w:tcPr>
            <w:tcW w:type="dxa" w:w="4561"/>
            <w:vAlign w:val="center"/>
          </w:tcPr>
          <w:p>
            <w:r/>
            <w:r>
              <w:rPr>
                <w:rFonts w:ascii="Times New Roman" w:hAnsi="Times New Roman"/>
                <w:b w:val="0"/>
                <w:sz w:val="22"/>
              </w:rPr>
              <w:t>6</w:t>
            </w:r>
          </w:p>
        </w:tc>
      </w:tr>
      <w:tr>
        <w:tc>
          <w:tcPr>
            <w:tcW w:type="dxa" w:w="4561"/>
            <w:vAlign w:val="center"/>
          </w:tcPr>
          <w:p>
            <w:r/>
            <w:r>
              <w:rPr>
                <w:rFonts w:ascii="Times New Roman" w:hAnsi="Times New Roman"/>
                <w:b w:val="0"/>
                <w:sz w:val="22"/>
              </w:rPr>
              <w:t>Sukabumi</w:t>
            </w:r>
          </w:p>
        </w:tc>
        <w:tc>
          <w:tcPr>
            <w:tcW w:type="dxa" w:w="4561"/>
            <w:vAlign w:val="center"/>
          </w:tcPr>
          <w:p>
            <w:r/>
            <w:r>
              <w:rPr>
                <w:rFonts w:ascii="Times New Roman" w:hAnsi="Times New Roman"/>
                <w:b w:val="0"/>
                <w:sz w:val="22"/>
              </w:rPr>
              <w:t>7</w:t>
            </w:r>
          </w:p>
        </w:tc>
      </w:tr>
      <w:tr>
        <w:tc>
          <w:tcPr>
            <w:tcW w:type="dxa" w:w="4561"/>
            <w:vAlign w:val="center"/>
          </w:tcPr>
          <w:p>
            <w:r/>
            <w:r>
              <w:rPr>
                <w:rFonts w:ascii="Times New Roman" w:hAnsi="Times New Roman"/>
                <w:b w:val="0"/>
                <w:sz w:val="22"/>
              </w:rPr>
              <w:t>Way Halim</w:t>
            </w:r>
          </w:p>
        </w:tc>
        <w:tc>
          <w:tcPr>
            <w:tcW w:type="dxa" w:w="4561"/>
            <w:vAlign w:val="center"/>
          </w:tcPr>
          <w:p>
            <w:r/>
            <w:r>
              <w:rPr>
                <w:rFonts w:ascii="Times New Roman" w:hAnsi="Times New Roman"/>
                <w:b w:val="0"/>
                <w:sz w:val="22"/>
              </w:rPr>
              <w:t>6</w:t>
            </w:r>
          </w:p>
        </w:tc>
      </w:tr>
      <w:tr>
        <w:tc>
          <w:tcPr>
            <w:tcW w:type="dxa" w:w="4561"/>
            <w:vAlign w:val="center"/>
          </w:tcPr>
          <w:p>
            <w:r/>
            <w:r>
              <w:rPr>
                <w:rFonts w:ascii="Times New Roman" w:hAnsi="Times New Roman"/>
                <w:b w:val="0"/>
                <w:sz w:val="22"/>
              </w:rPr>
              <w:t>Kota Bandar Lampung</w:t>
            </w:r>
          </w:p>
        </w:tc>
        <w:tc>
          <w:tcPr>
            <w:tcW w:type="dxa" w:w="4561"/>
            <w:vAlign w:val="center"/>
          </w:tcPr>
          <w:p>
            <w:r/>
            <w:r>
              <w:rPr>
                <w:rFonts w:ascii="Times New Roman" w:hAnsi="Times New Roman"/>
                <w:b w:val="0"/>
                <w:sz w:val="22"/>
              </w:rPr>
              <w:t>126</w:t>
            </w:r>
          </w:p>
        </w:tc>
      </w:tr>
    </w:tbl>
    <w:p/>
    <w:p>
      <w:pPr>
        <w:pStyle w:val="Heading1"/>
      </w:pPr>
      <w:r>
        <w:rPr>
          <w:rFonts w:ascii="Times New Roman" w:hAnsi="Times New Roman"/>
        </w:rPr>
        <w:t>4. Kependudukan</w:t>
      </w:r>
    </w:p>
    <w:p>
      <w:pPr>
        <w:spacing w:line="276" w:lineRule="auto"/>
        <w:ind w:firstLine="567"/>
        <w:jc w:val="both"/>
      </w:pPr>
      <w:r>
        <w:rPr>
          <w:rFonts w:ascii="Times New Roman" w:hAnsi="Times New Roman"/>
          <w:sz w:val="24"/>
        </w:rPr>
        <w:t>Jumlah penduduk Kota Bandar Lampung pada tahun 2024 tercatat sebanyak 1.077.664 jiwa, terdiri dari 543.865 laki-laki dan 533.799 perempuan. Kecamatan dengan jumlah penduduk terbesar adalah Kemiling sebanyak 85.823 jiwa, diikuti Sukabumi sebanyak 72.674 jiwa dan Panjang sebanyak 72.061 jiwa. Sementara itu, Kecamatan Enggal memiliki jumlah penduduk paling kecil, yaitu 24.662 jiwa. Data ini memperlihatkan bahwa distribusi penduduk Kota Bandar Lampung tidak merata antar kecamatan, sehingga perencanaan pelayanan publik perlu mempertimbangkan perbedaan jumlah penduduk pada tiap wilayah (BPS Kota Bandar Lampung, 2025).</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fill="D9EAF7"/>
          </w:tcPr>
          <w:p>
            <w:r/>
            <w:r>
              <w:rPr>
                <w:rFonts w:ascii="Times New Roman" w:hAnsi="Times New Roman"/>
                <w:b/>
                <w:sz w:val="22"/>
              </w:rPr>
              <w:t>Kecamatan</w:t>
            </w:r>
          </w:p>
        </w:tc>
        <w:tc>
          <w:tcPr>
            <w:tcW w:type="dxa" w:w="4561"/>
            <w:vAlign w:val="center"/>
            <w:shd w:fill="D9EAF7"/>
          </w:tcPr>
          <w:p>
            <w:r/>
            <w:r>
              <w:rPr>
                <w:rFonts w:ascii="Times New Roman" w:hAnsi="Times New Roman"/>
                <w:b/>
                <w:sz w:val="22"/>
              </w:rPr>
              <w:t>Jumlah penduduk 2024 (jiwa)</w:t>
            </w:r>
          </w:p>
        </w:tc>
      </w:tr>
      <w:tr>
        <w:tc>
          <w:tcPr>
            <w:tcW w:type="dxa" w:w="4561"/>
            <w:vAlign w:val="center"/>
          </w:tcPr>
          <w:p>
            <w:r/>
            <w:r>
              <w:rPr>
                <w:rFonts w:ascii="Times New Roman" w:hAnsi="Times New Roman"/>
                <w:b w:val="0"/>
                <w:sz w:val="22"/>
              </w:rPr>
              <w:t>Teluk Betung Barat</w:t>
            </w:r>
          </w:p>
        </w:tc>
        <w:tc>
          <w:tcPr>
            <w:tcW w:type="dxa" w:w="4561"/>
            <w:vAlign w:val="center"/>
          </w:tcPr>
          <w:p>
            <w:r/>
            <w:r>
              <w:rPr>
                <w:rFonts w:ascii="Times New Roman" w:hAnsi="Times New Roman"/>
                <w:b w:val="0"/>
                <w:sz w:val="22"/>
              </w:rPr>
              <w:t>38.185</w:t>
            </w:r>
          </w:p>
        </w:tc>
      </w:tr>
      <w:tr>
        <w:tc>
          <w:tcPr>
            <w:tcW w:type="dxa" w:w="4561"/>
            <w:vAlign w:val="center"/>
          </w:tcPr>
          <w:p>
            <w:r/>
            <w:r>
              <w:rPr>
                <w:rFonts w:ascii="Times New Roman" w:hAnsi="Times New Roman"/>
                <w:b w:val="0"/>
                <w:sz w:val="22"/>
              </w:rPr>
              <w:t>Teluk Betung Timur</w:t>
            </w:r>
          </w:p>
        </w:tc>
        <w:tc>
          <w:tcPr>
            <w:tcW w:type="dxa" w:w="4561"/>
            <w:vAlign w:val="center"/>
          </w:tcPr>
          <w:p>
            <w:r/>
            <w:r>
              <w:rPr>
                <w:rFonts w:ascii="Times New Roman" w:hAnsi="Times New Roman"/>
                <w:b w:val="0"/>
                <w:sz w:val="22"/>
              </w:rPr>
              <w:t>48.592</w:t>
            </w:r>
          </w:p>
        </w:tc>
      </w:tr>
      <w:tr>
        <w:tc>
          <w:tcPr>
            <w:tcW w:type="dxa" w:w="4561"/>
            <w:vAlign w:val="center"/>
          </w:tcPr>
          <w:p>
            <w:r/>
            <w:r>
              <w:rPr>
                <w:rFonts w:ascii="Times New Roman" w:hAnsi="Times New Roman"/>
                <w:b w:val="0"/>
                <w:sz w:val="22"/>
              </w:rPr>
              <w:t>Teluk Betung Selatan</w:t>
            </w:r>
          </w:p>
        </w:tc>
        <w:tc>
          <w:tcPr>
            <w:tcW w:type="dxa" w:w="4561"/>
            <w:vAlign w:val="center"/>
          </w:tcPr>
          <w:p>
            <w:r/>
            <w:r>
              <w:rPr>
                <w:rFonts w:ascii="Times New Roman" w:hAnsi="Times New Roman"/>
                <w:b w:val="0"/>
                <w:sz w:val="22"/>
              </w:rPr>
              <w:t>38.075</w:t>
            </w:r>
          </w:p>
        </w:tc>
      </w:tr>
      <w:tr>
        <w:tc>
          <w:tcPr>
            <w:tcW w:type="dxa" w:w="4561"/>
            <w:vAlign w:val="center"/>
          </w:tcPr>
          <w:p>
            <w:r/>
            <w:r>
              <w:rPr>
                <w:rFonts w:ascii="Times New Roman" w:hAnsi="Times New Roman"/>
                <w:b w:val="0"/>
                <w:sz w:val="22"/>
              </w:rPr>
              <w:t>Bumi Waras</w:t>
            </w:r>
          </w:p>
        </w:tc>
        <w:tc>
          <w:tcPr>
            <w:tcW w:type="dxa" w:w="4561"/>
            <w:vAlign w:val="center"/>
          </w:tcPr>
          <w:p>
            <w:r/>
            <w:r>
              <w:rPr>
                <w:rFonts w:ascii="Times New Roman" w:hAnsi="Times New Roman"/>
                <w:b w:val="0"/>
                <w:sz w:val="22"/>
              </w:rPr>
              <w:t>56.101</w:t>
            </w:r>
          </w:p>
        </w:tc>
      </w:tr>
      <w:tr>
        <w:tc>
          <w:tcPr>
            <w:tcW w:type="dxa" w:w="4561"/>
            <w:vAlign w:val="center"/>
          </w:tcPr>
          <w:p>
            <w:r/>
            <w:r>
              <w:rPr>
                <w:rFonts w:ascii="Times New Roman" w:hAnsi="Times New Roman"/>
                <w:b w:val="0"/>
                <w:sz w:val="22"/>
              </w:rPr>
              <w:t>Panjang</w:t>
            </w:r>
          </w:p>
        </w:tc>
        <w:tc>
          <w:tcPr>
            <w:tcW w:type="dxa" w:w="4561"/>
            <w:vAlign w:val="center"/>
          </w:tcPr>
          <w:p>
            <w:r/>
            <w:r>
              <w:rPr>
                <w:rFonts w:ascii="Times New Roman" w:hAnsi="Times New Roman"/>
                <w:b w:val="0"/>
                <w:sz w:val="22"/>
              </w:rPr>
              <w:t>72.061</w:t>
            </w:r>
          </w:p>
        </w:tc>
      </w:tr>
      <w:tr>
        <w:tc>
          <w:tcPr>
            <w:tcW w:type="dxa" w:w="4561"/>
            <w:vAlign w:val="center"/>
          </w:tcPr>
          <w:p>
            <w:r/>
            <w:r>
              <w:rPr>
                <w:rFonts w:ascii="Times New Roman" w:hAnsi="Times New Roman"/>
                <w:b w:val="0"/>
                <w:sz w:val="22"/>
              </w:rPr>
              <w:t>Tanjung Karang Timur</w:t>
            </w:r>
          </w:p>
        </w:tc>
        <w:tc>
          <w:tcPr>
            <w:tcW w:type="dxa" w:w="4561"/>
            <w:vAlign w:val="center"/>
          </w:tcPr>
          <w:p>
            <w:r/>
            <w:r>
              <w:rPr>
                <w:rFonts w:ascii="Times New Roman" w:hAnsi="Times New Roman"/>
                <w:b w:val="0"/>
                <w:sz w:val="22"/>
              </w:rPr>
              <w:t>37.031</w:t>
            </w:r>
          </w:p>
        </w:tc>
      </w:tr>
      <w:tr>
        <w:tc>
          <w:tcPr>
            <w:tcW w:type="dxa" w:w="4561"/>
            <w:vAlign w:val="center"/>
          </w:tcPr>
          <w:p>
            <w:r/>
            <w:r>
              <w:rPr>
                <w:rFonts w:ascii="Times New Roman" w:hAnsi="Times New Roman"/>
                <w:b w:val="0"/>
                <w:sz w:val="22"/>
              </w:rPr>
              <w:t>Kedamaian</w:t>
            </w:r>
          </w:p>
        </w:tc>
        <w:tc>
          <w:tcPr>
            <w:tcW w:type="dxa" w:w="4561"/>
            <w:vAlign w:val="center"/>
          </w:tcPr>
          <w:p>
            <w:r/>
            <w:r>
              <w:rPr>
                <w:rFonts w:ascii="Times New Roman" w:hAnsi="Times New Roman"/>
                <w:b w:val="0"/>
                <w:sz w:val="22"/>
              </w:rPr>
              <w:t>52.169</w:t>
            </w:r>
          </w:p>
        </w:tc>
      </w:tr>
      <w:tr>
        <w:tc>
          <w:tcPr>
            <w:tcW w:type="dxa" w:w="4561"/>
            <w:vAlign w:val="center"/>
          </w:tcPr>
          <w:p>
            <w:r/>
            <w:r>
              <w:rPr>
                <w:rFonts w:ascii="Times New Roman" w:hAnsi="Times New Roman"/>
                <w:b w:val="0"/>
                <w:sz w:val="22"/>
              </w:rPr>
              <w:t>Teluk Betung Utara</w:t>
            </w:r>
          </w:p>
        </w:tc>
        <w:tc>
          <w:tcPr>
            <w:tcW w:type="dxa" w:w="4561"/>
            <w:vAlign w:val="center"/>
          </w:tcPr>
          <w:p>
            <w:r/>
            <w:r>
              <w:rPr>
                <w:rFonts w:ascii="Times New Roman" w:hAnsi="Times New Roman"/>
                <w:b w:val="0"/>
                <w:sz w:val="22"/>
              </w:rPr>
              <w:t>49.123</w:t>
            </w:r>
          </w:p>
        </w:tc>
      </w:tr>
      <w:tr>
        <w:tc>
          <w:tcPr>
            <w:tcW w:type="dxa" w:w="4561"/>
            <w:vAlign w:val="center"/>
          </w:tcPr>
          <w:p>
            <w:r/>
            <w:r>
              <w:rPr>
                <w:rFonts w:ascii="Times New Roman" w:hAnsi="Times New Roman"/>
                <w:b w:val="0"/>
                <w:sz w:val="22"/>
              </w:rPr>
              <w:t>Tanjung Karang Pusat</w:t>
            </w:r>
          </w:p>
        </w:tc>
        <w:tc>
          <w:tcPr>
            <w:tcW w:type="dxa" w:w="4561"/>
            <w:vAlign w:val="center"/>
          </w:tcPr>
          <w:p>
            <w:r/>
            <w:r>
              <w:rPr>
                <w:rFonts w:ascii="Times New Roman" w:hAnsi="Times New Roman"/>
                <w:b w:val="0"/>
                <w:sz w:val="22"/>
              </w:rPr>
              <w:t>49.063</w:t>
            </w:r>
          </w:p>
        </w:tc>
      </w:tr>
      <w:tr>
        <w:tc>
          <w:tcPr>
            <w:tcW w:type="dxa" w:w="4561"/>
            <w:vAlign w:val="center"/>
          </w:tcPr>
          <w:p>
            <w:r/>
            <w:r>
              <w:rPr>
                <w:rFonts w:ascii="Times New Roman" w:hAnsi="Times New Roman"/>
                <w:b w:val="0"/>
                <w:sz w:val="22"/>
              </w:rPr>
              <w:t>Enggal</w:t>
            </w:r>
          </w:p>
        </w:tc>
        <w:tc>
          <w:tcPr>
            <w:tcW w:type="dxa" w:w="4561"/>
            <w:vAlign w:val="center"/>
          </w:tcPr>
          <w:p>
            <w:r/>
            <w:r>
              <w:rPr>
                <w:rFonts w:ascii="Times New Roman" w:hAnsi="Times New Roman"/>
                <w:b w:val="0"/>
                <w:sz w:val="22"/>
              </w:rPr>
              <w:t>24.662</w:t>
            </w:r>
          </w:p>
        </w:tc>
      </w:tr>
      <w:tr>
        <w:tc>
          <w:tcPr>
            <w:tcW w:type="dxa" w:w="4561"/>
            <w:vAlign w:val="center"/>
          </w:tcPr>
          <w:p>
            <w:r/>
            <w:r>
              <w:rPr>
                <w:rFonts w:ascii="Times New Roman" w:hAnsi="Times New Roman"/>
                <w:b w:val="0"/>
                <w:sz w:val="22"/>
              </w:rPr>
              <w:t>Tanjung Karang Barat</w:t>
            </w:r>
          </w:p>
        </w:tc>
        <w:tc>
          <w:tcPr>
            <w:tcW w:type="dxa" w:w="4561"/>
            <w:vAlign w:val="center"/>
          </w:tcPr>
          <w:p>
            <w:r/>
            <w:r>
              <w:rPr>
                <w:rFonts w:ascii="Times New Roman" w:hAnsi="Times New Roman"/>
                <w:b w:val="0"/>
                <w:sz w:val="22"/>
              </w:rPr>
              <w:t>61.773</w:t>
            </w:r>
          </w:p>
        </w:tc>
      </w:tr>
      <w:tr>
        <w:tc>
          <w:tcPr>
            <w:tcW w:type="dxa" w:w="4561"/>
            <w:vAlign w:val="center"/>
          </w:tcPr>
          <w:p>
            <w:r/>
            <w:r>
              <w:rPr>
                <w:rFonts w:ascii="Times New Roman" w:hAnsi="Times New Roman"/>
                <w:b w:val="0"/>
                <w:sz w:val="22"/>
              </w:rPr>
              <w:t>Kemiling</w:t>
            </w:r>
          </w:p>
        </w:tc>
        <w:tc>
          <w:tcPr>
            <w:tcW w:type="dxa" w:w="4561"/>
            <w:vAlign w:val="center"/>
          </w:tcPr>
          <w:p>
            <w:r/>
            <w:r>
              <w:rPr>
                <w:rFonts w:ascii="Times New Roman" w:hAnsi="Times New Roman"/>
                <w:b w:val="0"/>
                <w:sz w:val="22"/>
              </w:rPr>
              <w:t>85.823</w:t>
            </w:r>
          </w:p>
        </w:tc>
      </w:tr>
      <w:tr>
        <w:tc>
          <w:tcPr>
            <w:tcW w:type="dxa" w:w="4561"/>
            <w:vAlign w:val="center"/>
          </w:tcPr>
          <w:p>
            <w:r/>
            <w:r>
              <w:rPr>
                <w:rFonts w:ascii="Times New Roman" w:hAnsi="Times New Roman"/>
                <w:b w:val="0"/>
                <w:sz w:val="22"/>
              </w:rPr>
              <w:t>Langkapura</w:t>
            </w:r>
          </w:p>
        </w:tc>
        <w:tc>
          <w:tcPr>
            <w:tcW w:type="dxa" w:w="4561"/>
            <w:vAlign w:val="center"/>
          </w:tcPr>
          <w:p>
            <w:r/>
            <w:r>
              <w:rPr>
                <w:rFonts w:ascii="Times New Roman" w:hAnsi="Times New Roman"/>
                <w:b w:val="0"/>
                <w:sz w:val="22"/>
              </w:rPr>
              <w:t>43.365</w:t>
            </w:r>
          </w:p>
        </w:tc>
      </w:tr>
      <w:tr>
        <w:tc>
          <w:tcPr>
            <w:tcW w:type="dxa" w:w="4561"/>
            <w:vAlign w:val="center"/>
          </w:tcPr>
          <w:p>
            <w:r/>
            <w:r>
              <w:rPr>
                <w:rFonts w:ascii="Times New Roman" w:hAnsi="Times New Roman"/>
                <w:b w:val="0"/>
                <w:sz w:val="22"/>
              </w:rPr>
              <w:t>Kedaton</w:t>
            </w:r>
          </w:p>
        </w:tc>
        <w:tc>
          <w:tcPr>
            <w:tcW w:type="dxa" w:w="4561"/>
            <w:vAlign w:val="center"/>
          </w:tcPr>
          <w:p>
            <w:r/>
            <w:r>
              <w:rPr>
                <w:rFonts w:ascii="Times New Roman" w:hAnsi="Times New Roman"/>
                <w:b w:val="0"/>
                <w:sz w:val="22"/>
              </w:rPr>
              <w:t>50.997</w:t>
            </w:r>
          </w:p>
        </w:tc>
      </w:tr>
      <w:tr>
        <w:tc>
          <w:tcPr>
            <w:tcW w:type="dxa" w:w="4561"/>
            <w:vAlign w:val="center"/>
          </w:tcPr>
          <w:p>
            <w:r/>
            <w:r>
              <w:rPr>
                <w:rFonts w:ascii="Times New Roman" w:hAnsi="Times New Roman"/>
                <w:b w:val="0"/>
                <w:sz w:val="22"/>
              </w:rPr>
              <w:t>Rajabasa</w:t>
            </w:r>
          </w:p>
        </w:tc>
        <w:tc>
          <w:tcPr>
            <w:tcW w:type="dxa" w:w="4561"/>
            <w:vAlign w:val="center"/>
          </w:tcPr>
          <w:p>
            <w:r/>
            <w:r>
              <w:rPr>
                <w:rFonts w:ascii="Times New Roman" w:hAnsi="Times New Roman"/>
                <w:b w:val="0"/>
                <w:sz w:val="22"/>
              </w:rPr>
              <w:t>55.318</w:t>
            </w:r>
          </w:p>
        </w:tc>
      </w:tr>
      <w:tr>
        <w:tc>
          <w:tcPr>
            <w:tcW w:type="dxa" w:w="4561"/>
            <w:vAlign w:val="center"/>
          </w:tcPr>
          <w:p>
            <w:r/>
            <w:r>
              <w:rPr>
                <w:rFonts w:ascii="Times New Roman" w:hAnsi="Times New Roman"/>
                <w:b w:val="0"/>
                <w:sz w:val="22"/>
              </w:rPr>
              <w:t>Tanjung Senang</w:t>
            </w:r>
          </w:p>
        </w:tc>
        <w:tc>
          <w:tcPr>
            <w:tcW w:type="dxa" w:w="4561"/>
            <w:vAlign w:val="center"/>
          </w:tcPr>
          <w:p>
            <w:r/>
            <w:r>
              <w:rPr>
                <w:rFonts w:ascii="Times New Roman" w:hAnsi="Times New Roman"/>
                <w:b w:val="0"/>
                <w:sz w:val="22"/>
              </w:rPr>
              <w:t>61.871</w:t>
            </w:r>
          </w:p>
        </w:tc>
      </w:tr>
      <w:tr>
        <w:tc>
          <w:tcPr>
            <w:tcW w:type="dxa" w:w="4561"/>
            <w:vAlign w:val="center"/>
          </w:tcPr>
          <w:p>
            <w:r/>
            <w:r>
              <w:rPr>
                <w:rFonts w:ascii="Times New Roman" w:hAnsi="Times New Roman"/>
                <w:b w:val="0"/>
                <w:sz w:val="22"/>
              </w:rPr>
              <w:t>Labuhan Ratu</w:t>
            </w:r>
          </w:p>
        </w:tc>
        <w:tc>
          <w:tcPr>
            <w:tcW w:type="dxa" w:w="4561"/>
            <w:vAlign w:val="center"/>
          </w:tcPr>
          <w:p>
            <w:r/>
            <w:r>
              <w:rPr>
                <w:rFonts w:ascii="Times New Roman" w:hAnsi="Times New Roman"/>
                <w:b w:val="0"/>
                <w:sz w:val="22"/>
              </w:rPr>
              <w:t>47.257</w:t>
            </w:r>
          </w:p>
        </w:tc>
      </w:tr>
      <w:tr>
        <w:tc>
          <w:tcPr>
            <w:tcW w:type="dxa" w:w="4561"/>
            <w:vAlign w:val="center"/>
          </w:tcPr>
          <w:p>
            <w:r/>
            <w:r>
              <w:rPr>
                <w:rFonts w:ascii="Times New Roman" w:hAnsi="Times New Roman"/>
                <w:b w:val="0"/>
                <w:sz w:val="22"/>
              </w:rPr>
              <w:t>Sukarame</w:t>
            </w:r>
          </w:p>
        </w:tc>
        <w:tc>
          <w:tcPr>
            <w:tcW w:type="dxa" w:w="4561"/>
            <w:vAlign w:val="center"/>
          </w:tcPr>
          <w:p>
            <w:r/>
            <w:r>
              <w:rPr>
                <w:rFonts w:ascii="Times New Roman" w:hAnsi="Times New Roman"/>
                <w:b w:val="0"/>
                <w:sz w:val="22"/>
              </w:rPr>
              <w:t>66.797</w:t>
            </w:r>
          </w:p>
        </w:tc>
      </w:tr>
      <w:tr>
        <w:tc>
          <w:tcPr>
            <w:tcW w:type="dxa" w:w="4561"/>
            <w:vAlign w:val="center"/>
          </w:tcPr>
          <w:p>
            <w:r/>
            <w:r>
              <w:rPr>
                <w:rFonts w:ascii="Times New Roman" w:hAnsi="Times New Roman"/>
                <w:b w:val="0"/>
                <w:sz w:val="22"/>
              </w:rPr>
              <w:t>Sukabumi</w:t>
            </w:r>
          </w:p>
        </w:tc>
        <w:tc>
          <w:tcPr>
            <w:tcW w:type="dxa" w:w="4561"/>
            <w:vAlign w:val="center"/>
          </w:tcPr>
          <w:p>
            <w:r/>
            <w:r>
              <w:rPr>
                <w:rFonts w:ascii="Times New Roman" w:hAnsi="Times New Roman"/>
                <w:b w:val="0"/>
                <w:sz w:val="22"/>
              </w:rPr>
              <w:t>72.674</w:t>
            </w:r>
          </w:p>
        </w:tc>
      </w:tr>
      <w:tr>
        <w:tc>
          <w:tcPr>
            <w:tcW w:type="dxa" w:w="4561"/>
            <w:vAlign w:val="center"/>
          </w:tcPr>
          <w:p>
            <w:r/>
            <w:r>
              <w:rPr>
                <w:rFonts w:ascii="Times New Roman" w:hAnsi="Times New Roman"/>
                <w:b w:val="0"/>
                <w:sz w:val="22"/>
              </w:rPr>
              <w:t>Way Halim</w:t>
            </w:r>
          </w:p>
        </w:tc>
        <w:tc>
          <w:tcPr>
            <w:tcW w:type="dxa" w:w="4561"/>
            <w:vAlign w:val="center"/>
          </w:tcPr>
          <w:p>
            <w:r/>
            <w:r>
              <w:rPr>
                <w:rFonts w:ascii="Times New Roman" w:hAnsi="Times New Roman"/>
                <w:b w:val="0"/>
                <w:sz w:val="22"/>
              </w:rPr>
              <w:t>66.727</w:t>
            </w:r>
          </w:p>
        </w:tc>
      </w:tr>
      <w:tr>
        <w:tc>
          <w:tcPr>
            <w:tcW w:type="dxa" w:w="4561"/>
            <w:vAlign w:val="center"/>
          </w:tcPr>
          <w:p>
            <w:r/>
            <w:r>
              <w:rPr>
                <w:rFonts w:ascii="Times New Roman" w:hAnsi="Times New Roman"/>
                <w:b w:val="0"/>
                <w:sz w:val="22"/>
              </w:rPr>
              <w:t>Kota Bandar Lampung</w:t>
            </w:r>
          </w:p>
        </w:tc>
        <w:tc>
          <w:tcPr>
            <w:tcW w:type="dxa" w:w="4561"/>
            <w:vAlign w:val="center"/>
          </w:tcPr>
          <w:p>
            <w:r/>
            <w:r>
              <w:rPr>
                <w:rFonts w:ascii="Times New Roman" w:hAnsi="Times New Roman"/>
                <w:b w:val="0"/>
                <w:sz w:val="22"/>
              </w:rPr>
              <w:t>1.077.664</w:t>
            </w:r>
          </w:p>
        </w:tc>
      </w:tr>
    </w:tbl>
    <w:p/>
    <w:p>
      <w:pPr>
        <w:pStyle w:val="Heading1"/>
      </w:pPr>
      <w:r>
        <w:rPr>
          <w:rFonts w:ascii="Times New Roman" w:hAnsi="Times New Roman"/>
        </w:rPr>
        <w:t>5. Kepadatan Penduduk</w:t>
      </w:r>
    </w:p>
    <w:p>
      <w:pPr>
        <w:spacing w:line="276" w:lineRule="auto"/>
        <w:ind w:firstLine="567"/>
        <w:jc w:val="both"/>
      </w:pPr>
      <w:r>
        <w:rPr>
          <w:rFonts w:ascii="Times New Roman" w:hAnsi="Times New Roman"/>
          <w:sz w:val="24"/>
        </w:rPr>
        <w:t>Berdasarkan jumlah penduduk 1.077.664 jiwa dan luas wilayah 183,77 km2, kepadatan penduduk Kota Bandar Lampung berada pada kisaran 5.864 jiwa per km2. Kepadatan penduduk merupakan indikator penting dalam memahami karakter wilayah perkotaan karena berkaitan dengan kebutuhan ruang, permukiman, transportasi, pelayanan publik, dan pengelolaan lingkungan. Wilayah dengan kepadatan tinggi memerlukan perhatian lebih besar dalam perencanaan infrastruktur dasar dan pengendalian masalah lingkungan perkotaan (BPS Kota Bandar Lampung, 2025).</w:t>
      </w:r>
    </w:p>
    <w:p>
      <w:pPr>
        <w:pStyle w:val="Heading1"/>
      </w:pPr>
      <w:r>
        <w:rPr>
          <w:rFonts w:ascii="Times New Roman" w:hAnsi="Times New Roman"/>
        </w:rPr>
        <w:t>6. Fasilitas Pendidikan</w:t>
      </w:r>
    </w:p>
    <w:p>
      <w:pPr>
        <w:spacing w:line="276" w:lineRule="auto"/>
        <w:ind w:firstLine="567"/>
        <w:jc w:val="both"/>
      </w:pPr>
      <w:r>
        <w:rPr>
          <w:rFonts w:ascii="Times New Roman" w:hAnsi="Times New Roman"/>
          <w:sz w:val="24"/>
        </w:rPr>
        <w:t>Kota Bandar Lampung memiliki fasilitas pendidikan yang tersebar di berbagai kecamatan. Berdasarkan data BPS, pada tahun ajaran 2024/2025 terdapat 243 sekolah dasar (SD) yang terdiri dari 166 SD negeri dan 77 SD swasta, dengan 5.188 guru dan 90.696 murid. Pada jenjang SMP, data BPS tahun ajaran 2025/2026 mencatat 140 sekolah, terdiri dari 45 SMP negeri dan 95 SMP swasta, dengan 3.125 guru dan 46.236 murid. Pada jenjang SMA tahun ajaran 2023/2024 terdapat 67 sekolah, sedangkan pada jenjang SMK tahun ajaran 2024/2025 terdapat 60 sekolah. Data ini menunjukkan bahwa Kota Bandar Lampung memiliki basis fasilitas pendidikan yang cukup besar untuk mendukung aktivitas sosial masyarakat perkotaan (BPS Kota Bandar Lampung, 2025).</w:t>
      </w:r>
    </w:p>
    <w:p>
      <w:pPr>
        <w:pStyle w:val="Heading1"/>
      </w:pPr>
      <w:r>
        <w:rPr>
          <w:rFonts w:ascii="Times New Roman" w:hAnsi="Times New Roman"/>
        </w:rPr>
        <w:t>7. Fasilitas Kesehatan</w:t>
      </w:r>
    </w:p>
    <w:p>
      <w:pPr>
        <w:spacing w:line="276" w:lineRule="auto"/>
        <w:ind w:firstLine="567"/>
        <w:jc w:val="both"/>
      </w:pPr>
      <w:r>
        <w:rPr>
          <w:rFonts w:ascii="Times New Roman" w:hAnsi="Times New Roman"/>
          <w:sz w:val="24"/>
        </w:rPr>
        <w:t>Dari sisi fasilitas kesehatan, BPS Kota Bandar Lampung menyediakan data mengenai rumah sakit umum, rumah sakit khusus, puskesmas, klinik pratama, dan posyandu menurut kecamatan. Keberadaan fasilitas kesehatan tersebut menjadi bagian penting dari profil daerah karena menunjukkan kapasitas pelayanan dasar masyarakat di tingkat kota. Dalam konteks perencanaan wilayah, distribusi fasilitas kesehatan perlu diperhatikan agar pelayanan publik dapat menjangkau penduduk di berbagai kecamatan secara lebih merata (BPS Kota Bandar Lampung, 2025).</w:t>
      </w:r>
    </w:p>
    <w:p>
      <w:pPr>
        <w:pStyle w:val="Heading1"/>
      </w:pPr>
      <w:r>
        <w:rPr>
          <w:rFonts w:ascii="Times New Roman" w:hAnsi="Times New Roman"/>
        </w:rPr>
        <w:t>8. Perumahan dan Lingkungan</w:t>
      </w:r>
    </w:p>
    <w:p>
      <w:pPr>
        <w:spacing w:line="276" w:lineRule="auto"/>
        <w:ind w:firstLine="567"/>
        <w:jc w:val="both"/>
      </w:pPr>
      <w:r>
        <w:rPr>
          <w:rFonts w:ascii="Times New Roman" w:hAnsi="Times New Roman"/>
          <w:sz w:val="24"/>
        </w:rPr>
        <w:t>Profil perumahan dan lingkungan Kota Bandar Lampung dapat dipahami melalui data BPS mengenai kondisi wilayah, jumlah penduduk, kepadatan, serta persebaran kelurahan menurut karakter topografi. Sebagian besar kelurahan di Kota Bandar Lampung berada pada wilayah dataran, yaitu 118 kelurahan, sedangkan 8 kelurahan berada pada wilayah lereng atau puncak. Informasi ini penting karena karakter topografi dan persebaran permukiman berpengaruh terhadap kebutuhan pengelolaan lingkungan, pelayanan infrastruktur dasar, serta perencanaan kawasan permukiman (BPS Kota Bandar Lampung, 2025).</w:t>
      </w:r>
    </w:p>
    <w:p>
      <w:pPr>
        <w:pStyle w:val="Heading1"/>
      </w:pPr>
      <w:r>
        <w:rPr>
          <w:rFonts w:ascii="Times New Roman" w:hAnsi="Times New Roman"/>
        </w:rPr>
        <w:t>9. Aktivitas Ekonomi dan Perdagangan</w:t>
      </w:r>
    </w:p>
    <w:p>
      <w:pPr>
        <w:spacing w:line="276" w:lineRule="auto"/>
        <w:ind w:firstLine="567"/>
        <w:jc w:val="both"/>
      </w:pPr>
      <w:r>
        <w:rPr>
          <w:rFonts w:ascii="Times New Roman" w:hAnsi="Times New Roman"/>
          <w:sz w:val="24"/>
        </w:rPr>
        <w:t>Sebagai wilayah perkotaan, Kota Bandar Lampung memiliki aktivitas ekonomi dan perdagangan yang menjadi bagian penting dari profil daerah. Publikasi Kota Bandar Lampung Dalam Angka 2025 memuat gambaran sosial ekonomi daerah, termasuk data yang berkaitan dengan kegiatan perdagangan, jasa, dan aktivitas ekonomi masyarakat. Keberadaan pusat aktivitas ekonomi pada wilayah kota perlu diperhatikan karena berhubungan dengan mobilitas penduduk, kebutuhan pelayanan publik, dan pemanfaatan ruang kota (BPS Kota Bandar Lampung, 2025).</w:t>
      </w:r>
    </w:p>
    <w:p>
      <w:pPr>
        <w:pStyle w:val="Heading1"/>
      </w:pPr>
      <w:r>
        <w:rPr>
          <w:rFonts w:ascii="Times New Roman" w:hAnsi="Times New Roman"/>
        </w:rPr>
        <w:t>10. Relevansi sebagai Wilayah Studi Genangan Perkotaan</w:t>
      </w:r>
    </w:p>
    <w:p>
      <w:pPr>
        <w:spacing w:line="276" w:lineRule="auto"/>
        <w:ind w:firstLine="567"/>
        <w:jc w:val="both"/>
      </w:pPr>
      <w:r>
        <w:rPr>
          <w:rFonts w:ascii="Times New Roman" w:hAnsi="Times New Roman"/>
          <w:sz w:val="24"/>
        </w:rPr>
        <w:t>Kota Bandar Lampung relevan dijadikan wilayah studi genangan perkotaan karena memiliki karakter wilayah kota dengan jumlah penduduk besar, sebaran 20 kecamatan, 126 kelurahan, serta kepadatan penduduk yang cukup tinggi. Dari perspektif profil daerah, kombinasi luas wilayah, persebaran penduduk, kepadatan, dan keragaman topografi kelurahan menjadi dasar untuk memahami kebutuhan pengelolaan lingkungan perkotaan. Dengan cakupan kota, kajian genangan dapat dilihat sebagai persoalan wilayah perkotaan yang tersebar di berbagai kecamatan, bukan hanya terbatas pada satu lokasi administratif tertentu (BPS Kota Bandar Lampung, 2025).</w:t>
      </w:r>
    </w:p>
    <w:p>
      <w:pPr>
        <w:pStyle w:val="Heading1"/>
      </w:pPr>
      <w:r>
        <w:rPr>
          <w:rFonts w:ascii="Times New Roman" w:hAnsi="Times New Roman"/>
        </w:rPr>
        <w:t>11. Kesimpulan Profil Daerah</w:t>
      </w:r>
    </w:p>
    <w:p>
      <w:pPr>
        <w:spacing w:line="276" w:lineRule="auto"/>
        <w:ind w:firstLine="567"/>
        <w:jc w:val="both"/>
      </w:pPr>
      <w:r>
        <w:rPr>
          <w:rFonts w:ascii="Times New Roman" w:hAnsi="Times New Roman"/>
          <w:sz w:val="24"/>
        </w:rPr>
        <w:t>Berdasarkan data resmi BPS, Kota Bandar Lampung merupakan wilayah perkotaan dengan luas 183,77 km2, terdiri dari 20 kecamatan dan 126 kelurahan, serta memiliki jumlah penduduk 1.077.664 jiwa pada tahun 2024. Wilayah dengan penduduk terbesar adalah Kemiling, Sukabumi, dan Panjang, sedangkan wilayah dengan luas terbesar adalah Sukabumi dan Kemiling. Profil ini menunjukkan bahwa Kota Bandar Lampung memiliki karakter wilayah perkotaan yang padat, beragam, dan membutuhkan pengelolaan lingkungan serta pelayanan publik yang terencana. Oleh karena itu, Kota Bandar Lampung layak menjadi objek kajian dalam pembahasan smart city, khususnya pada isu lingkungan perkotaan dan pengelolaan genangan air (BPS Kota Bandar Lampung, 2025).</w:t>
      </w:r>
    </w:p>
    <w:p>
      <w:r>
        <w:br w:type="page"/>
      </w:r>
    </w:p>
    <w:p>
      <w:pPr>
        <w:pStyle w:val="Heading1"/>
      </w:pPr>
      <w:r>
        <w:rPr>
          <w:rFonts w:ascii="Times New Roman" w:hAnsi="Times New Roman"/>
        </w:rPr>
        <w:t>DAFTAR PUSTAKA</w:t>
      </w:r>
    </w:p>
    <w:p>
      <w:pPr>
        <w:spacing w:after="120"/>
        <w:ind w:hanging="567" w:left="567"/>
      </w:pPr>
      <w:r>
        <w:rPr>
          <w:rFonts w:ascii="Times New Roman" w:hAnsi="Times New Roman"/>
          <w:sz w:val="24"/>
        </w:rPr>
        <w:t>Kozlowski, W., &amp; Suwar, K. (2021). Smart city: Definitions, dimensions, and initiatives. European Research Studies Journal, XXIV (Special Issue 2-1), 509-520. Diakses pada: https://ersj.eu/journal/2442</w:t>
      </w:r>
    </w:p>
    <w:p>
      <w:pPr>
        <w:spacing w:after="120"/>
        <w:ind w:hanging="567" w:left="567"/>
      </w:pPr>
      <w:r>
        <w:rPr>
          <w:rFonts w:ascii="Times New Roman" w:hAnsi="Times New Roman"/>
          <w:sz w:val="24"/>
        </w:rPr>
        <w:t>Sanchez, J., Parnell, G. S., Specking, E., Pohl, E. A., &amp; Buchanan, R. (2023). Smart cities-A structured literature review. Smart Cities, 6(4), 1719-1743. Diakses pada: https://doi.org/10.3390/smartcities6040080</w:t>
      </w:r>
    </w:p>
    <w:p>
      <w:pPr>
        <w:spacing w:after="120"/>
        <w:ind w:hanging="567" w:left="567"/>
      </w:pPr>
      <w:r>
        <w:rPr>
          <w:rFonts w:ascii="Times New Roman" w:hAnsi="Times New Roman"/>
          <w:sz w:val="24"/>
        </w:rPr>
        <w:t>Sanchez-Gallegos, D. D., Carrizales-Espinoza, D. E., Torres-Charles, C., &amp; Carretero, J. (2025). Smart cities: A systematic review of emerging technologies. Smart Cities, 8(5), 173. Diakses pada: https://doi.org/10.3390/smartcities8050173</w:t>
      </w:r>
    </w:p>
    <w:p>
      <w:pPr>
        <w:spacing w:after="120"/>
        <w:ind w:hanging="567" w:left="567"/>
      </w:pPr>
      <w:r>
        <w:rPr>
          <w:rFonts w:ascii="Times New Roman" w:hAnsi="Times New Roman"/>
          <w:sz w:val="24"/>
        </w:rPr>
        <w:t>Badan Pusat Statistik Kota Bandar Lampung. (2025). Kota Bandar Lampung Dalam Angka 2025. Bandar Lampung: BPS Kota Bandar Lampung. Diakses dari: https://bandarlampungkota.bps.go.id/id/publication/2025/02/28/2eefa875982a6dbe0a1d4b50/kota-bandar-lampung-dalam-angka-2025.html</w:t>
      </w:r>
    </w:p>
    <w:p>
      <w:pPr>
        <w:spacing w:after="120"/>
        <w:ind w:hanging="567" w:left="567"/>
      </w:pPr>
      <w:r>
        <w:rPr>
          <w:rFonts w:ascii="Times New Roman" w:hAnsi="Times New Roman"/>
          <w:sz w:val="24"/>
        </w:rPr>
        <w:t>Badan Pusat Statistik Kota Bandar Lampung. (2025). Luas Daerah dan Jumlah Pulau Menurut Kecamatan di Kota Bandar Lampung, 2023. Diakses dari: https://bandarlampungkota.bps.go.id</w:t>
      </w:r>
    </w:p>
    <w:p>
      <w:pPr>
        <w:spacing w:after="120"/>
        <w:ind w:hanging="567" w:left="567"/>
      </w:pPr>
      <w:r>
        <w:rPr>
          <w:rFonts w:ascii="Times New Roman" w:hAnsi="Times New Roman"/>
          <w:sz w:val="24"/>
        </w:rPr>
        <w:t>Badan Pusat Statistik Kota Bandar Lampung. (2025). Jumlah Desa/Kelurahan Menurut Kecamatan di Kota Bandar Lampung, 2024. Diakses dari: https://bandarlampungkota.bps.go.id</w:t>
      </w:r>
    </w:p>
    <w:p>
      <w:pPr>
        <w:spacing w:after="120"/>
        <w:ind w:hanging="567" w:left="567"/>
      </w:pPr>
      <w:r>
        <w:rPr>
          <w:rFonts w:ascii="Times New Roman" w:hAnsi="Times New Roman"/>
          <w:sz w:val="24"/>
        </w:rPr>
        <w:t>Badan Pusat Statistik Kota Bandar Lampung. (2025). Jumlah Penduduk Berdasarkan Jenis Kelamin dan Kecamatan (Jiwa), 2024. Diakses dari: https://bandarlampungkota.bps.go.id</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