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ptos" w:hAnsi="Aptos" w:eastAsia="Aptos"/>
          <w:b/>
          <w:i w:val="0"/>
          <w:color w:val="07182B"/>
          <w:sz w:val="36"/>
        </w:rPr>
        <w:t>ARCUS</w:t>
      </w:r>
      <w:r>
        <w:rPr>
          <w:rFonts w:ascii="Aptos" w:hAnsi="Aptos" w:eastAsia="Aptos"/>
          <w:b w:val="0"/>
          <w:i w:val="0"/>
          <w:color w:val="44546A"/>
          <w:sz w:val="20"/>
        </w:rPr>
        <w:t xml:space="preserve">  |  ASSET MANAGEMENT REPORTING</w:t>
      </w:r>
    </w:p>
    <w:p>
      <w:pPr>
        <w:spacing w:before="160" w:after="80" w:line="240" w:lineRule="auto"/>
        <w:jc w:val="center"/>
      </w:pPr>
      <w:r>
        <w:rPr>
          <w:rFonts w:ascii="Aptos" w:hAnsi="Aptos" w:eastAsia="Aptos"/>
          <w:b/>
          <w:i w:val="0"/>
          <w:color w:val="07182B"/>
          <w:sz w:val="44"/>
        </w:rPr>
        <w:t>PERFORMANCE REPORT</w:t>
      </w:r>
    </w:p>
    <w:p>
      <w:pPr>
        <w:jc w:val="center"/>
      </w:pPr>
      <w:r>
        <w:rPr>
          <w:rFonts w:ascii="Aptos" w:hAnsi="Aptos" w:eastAsia="Aptos"/>
          <w:b w:val="0"/>
          <w:i w:val="0"/>
          <w:color w:val="44546A"/>
          <w:sz w:val="20"/>
        </w:rPr>
        <w:t>Client Portfolio Performance, Benchmark Comparison and P&amp;L Attribution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Replace all yellow highlighted placeholders with the approved values generated from Arcus. Delete all blue instruction boxes before issuing the final report. Do not edit unhighlighted legal, reliance, approval or audit wording unless approved by compliance/legal.</w:t>
            </w:r>
          </w:p>
        </w:tc>
      </w:tr>
    </w:tbl>
    <w:tbl>
      <w:tblPr>
        <w:tblStyle w:val="TableGrid"/>
        <w:tblW w:type="auto" w:w="0"/>
        <w:jc w:val="center"/>
        <w:tblLook w:firstColumn="1" w:firstRow="1" w:lastColumn="0" w:lastRow="0" w:noHBand="0" w:noVBand="1" w:val="04A0"/>
      </w:tblPr>
      <w:tblGrid>
        <w:gridCol w:w="5256"/>
        <w:gridCol w:w="5256"/>
      </w:tblGrid>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Asset Manager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{asset_manager_name}</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 Investor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{client_legal_name}</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Account / Portfolio</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{client_portfolio_name}</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Portfolio Reference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{portfolio_reference}</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Reporting Period</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{quarter_start_date} to {quarter_end_date}</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Date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{valuation_date}</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Base Currency</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{base_currency}</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{benchmark_name}</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Version</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{version_number}</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Status</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{draft_approved_published_archived}</w:t>
            </w:r>
          </w:p>
        </w:tc>
      </w:tr>
    </w:tbl>
    <w:p>
      <w:pPr>
        <w:jc w:val="center"/>
      </w:pPr>
      <w:r>
        <w:rPr>
          <w:rFonts w:ascii="Aptos" w:hAnsi="Aptos" w:eastAsia="Aptos"/>
          <w:b w:val="0"/>
          <w:highlight w:val="yellow"/>
        </w:rPr>
        <w:t>{confidentiality_marking}</w:t>
      </w:r>
      <w:r>
        <w:rPr>
          <w:rFonts w:ascii="Aptos" w:hAnsi="Aptos" w:eastAsia="Aptos"/>
          <w:b w:val="0"/>
          <w:i w:val="0"/>
          <w:color w:val="44546A"/>
          <w:sz w:val="16"/>
        </w:rPr>
        <w:t xml:space="preserve"> | Generated from approved Arcus portfolio valuation and performance records</w:t>
      </w:r>
    </w:p>
    <w:p>
      <w:r>
        <w:br w:type="page"/>
      </w:r>
    </w:p>
    <w:p>
      <w:pPr>
        <w:pStyle w:val="Heading1"/>
        <w:keepLines/>
      </w:pPr>
      <w:r>
        <w:rPr>
          <w:rFonts w:ascii="Aptos" w:hAnsi="Aptos" w:eastAsia="Aptos"/>
          <w:b/>
          <w:i w:val="0"/>
          <w:color w:val="07182B"/>
          <w:sz w:val="32"/>
        </w:rPr>
        <w:t>1. Purpose and Scope</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Confirm the portfolio, benchmark, valuation date and performance methodology before release. Performance must be sourced from the Stock Price Collector / Portfolio Valuation module and not manually recalculated in this report.</w:t>
            </w:r>
          </w:p>
        </w:tc>
      </w:tr>
    </w:tbl>
    <w:p>
      <w:pPr>
        <w:spacing w:before="0" w:after="120" w:line="240" w:lineRule="auto"/>
      </w:pPr>
      <w:r>
        <w:rPr>
          <w:rFonts w:ascii="Aptos" w:hAnsi="Aptos" w:eastAsia="Aptos"/>
          <w:b w:val="0"/>
          <w:i w:val="0"/>
        </w:rPr>
        <w:t xml:space="preserve">This Performance Report has been prepared for </w:t>
      </w:r>
      <w:r>
        <w:rPr>
          <w:rFonts w:ascii="Aptos" w:hAnsi="Aptos" w:eastAsia="Aptos"/>
          <w:b w:val="0"/>
          <w:highlight w:val="yellow"/>
        </w:rPr>
        <w:t>{client_legal_name}</w:t>
      </w:r>
      <w:r>
        <w:rPr>
          <w:rFonts w:ascii="Aptos" w:hAnsi="Aptos" w:eastAsia="Aptos"/>
          <w:b w:val="0"/>
          <w:i w:val="0"/>
        </w:rPr>
        <w:t xml:space="preserve"> in respect of </w:t>
      </w:r>
      <w:r>
        <w:rPr>
          <w:rFonts w:ascii="Aptos" w:hAnsi="Aptos" w:eastAsia="Aptos"/>
          <w:b w:val="0"/>
          <w:highlight w:val="yellow"/>
        </w:rPr>
        <w:t>{client_portfolio_name}</w:t>
      </w:r>
      <w:r>
        <w:rPr>
          <w:rFonts w:ascii="Aptos" w:hAnsi="Aptos" w:eastAsia="Aptos"/>
          <w:b w:val="0"/>
          <w:i w:val="0"/>
        </w:rPr>
        <w:t xml:space="preserve"> for the period </w:t>
      </w:r>
      <w:r>
        <w:rPr>
          <w:rFonts w:ascii="Aptos" w:hAnsi="Aptos" w:eastAsia="Aptos"/>
          <w:b w:val="0"/>
          <w:highlight w:val="yellow"/>
        </w:rPr>
        <w:t>{quarter_start_date} to {quarter_end_date}</w:t>
      </w:r>
      <w:r>
        <w:rPr>
          <w:rFonts w:ascii="Aptos" w:hAnsi="Aptos" w:eastAsia="Aptos"/>
          <w:b w:val="0"/>
          <w:i w:val="0"/>
        </w:rPr>
        <w:t>. It summarises portfolio performance, benchmark comparison, realised and unrealised profit or loss, contribution to return, income, fees, cash-flow adjusted performance and relevant mandate or performance exceptions.</w:t>
      </w:r>
    </w:p>
    <w:p>
      <w:pPr>
        <w:spacing w:before="0" w:after="120" w:line="240" w:lineRule="auto"/>
      </w:pPr>
      <w:r>
        <w:rPr>
          <w:rFonts w:ascii="Aptos" w:hAnsi="Aptos" w:eastAsia="Aptos"/>
          <w:b w:val="0"/>
          <w:i w:val="0"/>
        </w:rPr>
        <w:t>The report is intended to support client reporting, portfolio manager review, investment committee oversight and internal performance governance. It should be read together with the Client Portfolio Valuation Statement, Holdings Report and Transaction Report for the same period where applicable.</w:t>
      </w:r>
    </w:p>
    <w:p>
      <w:pPr>
        <w:pStyle w:val="Heading1"/>
        <w:keepLines/>
      </w:pPr>
      <w:r>
        <w:rPr>
          <w:rFonts w:ascii="Aptos" w:hAnsi="Aptos" w:eastAsia="Aptos"/>
          <w:b/>
          <w:i w:val="0"/>
          <w:color w:val="07182B"/>
          <w:sz w:val="32"/>
        </w:rPr>
        <w:t>2. Confidentiality, Reliance and Calculation Basis</w:t>
      </w:r>
    </w:p>
    <w:p>
      <w:pPr>
        <w:spacing w:before="0" w:after="120" w:line="240" w:lineRule="auto"/>
      </w:pPr>
      <w:r>
        <w:rPr>
          <w:rFonts w:ascii="Aptos" w:hAnsi="Aptos" w:eastAsia="Aptos"/>
          <w:b w:val="0"/>
          <w:i w:val="0"/>
        </w:rPr>
        <w:t xml:space="preserve">This report is confidential and is issued solely to </w:t>
      </w:r>
      <w:r>
        <w:rPr>
          <w:rFonts w:ascii="Aptos" w:hAnsi="Aptos" w:eastAsia="Aptos"/>
          <w:b w:val="0"/>
          <w:highlight w:val="yellow"/>
        </w:rPr>
        <w:t>{client_legal_name}</w:t>
      </w:r>
      <w:r>
        <w:rPr>
          <w:rFonts w:ascii="Aptos" w:hAnsi="Aptos" w:eastAsia="Aptos"/>
          <w:b w:val="0"/>
          <w:i w:val="0"/>
        </w:rPr>
        <w:t xml:space="preserve"> and authorised representatives of </w:t>
      </w:r>
      <w:r>
        <w:rPr>
          <w:rFonts w:ascii="Aptos" w:hAnsi="Aptos" w:eastAsia="Aptos"/>
          <w:b w:val="0"/>
          <w:highlight w:val="yellow"/>
        </w:rPr>
        <w:t>{asset_manager_name}</w:t>
      </w:r>
      <w:r>
        <w:rPr>
          <w:rFonts w:ascii="Aptos" w:hAnsi="Aptos" w:eastAsia="Aptos"/>
          <w:b w:val="0"/>
          <w:i w:val="0"/>
        </w:rPr>
        <w:t>. It may not be copied, distributed, disclosed or relied upon by any third party without prior written approval, except where disclosure is required by law, regulation, auditors, trustees, custodians, tax advisers or another competent authority.</w:t>
      </w:r>
    </w:p>
    <w:p>
      <w:pPr>
        <w:spacing w:before="0" w:after="120" w:line="240" w:lineRule="auto"/>
      </w:pPr>
      <w:r>
        <w:rPr>
          <w:rFonts w:ascii="Aptos" w:hAnsi="Aptos" w:eastAsia="Aptos"/>
          <w:b w:val="0"/>
          <w:i w:val="0"/>
        </w:rPr>
        <w:t xml:space="preserve">Performance has been calculated using approved holdings, prices, cash balances, income, fees, trades, FX rates and valuation records as at </w:t>
      </w:r>
      <w:r>
        <w:rPr>
          <w:rFonts w:ascii="Aptos" w:hAnsi="Aptos" w:eastAsia="Aptos"/>
          <w:b w:val="0"/>
          <w:highlight w:val="yellow"/>
        </w:rPr>
        <w:t>{valuation_date}</w:t>
      </w:r>
      <w:r>
        <w:rPr>
          <w:rFonts w:ascii="Aptos" w:hAnsi="Aptos" w:eastAsia="Aptos"/>
          <w:b w:val="0"/>
          <w:i w:val="0"/>
        </w:rPr>
        <w:t>. Amounts may be rounded for presentation. Where any discrepancy arises, the approved Arcus source records, client mandate and accounting records shall prevail.</w:t>
      </w:r>
    </w:p>
    <w:p>
      <w:pPr>
        <w:spacing w:before="0" w:after="120" w:line="240" w:lineRule="auto"/>
      </w:pPr>
      <w:r>
        <w:rPr>
          <w:rFonts w:ascii="Aptos" w:hAnsi="Aptos" w:eastAsia="Aptos"/>
          <w:b w:val="0"/>
          <w:i w:val="0"/>
        </w:rPr>
        <w:t>Unless expressly stated otherwise, this report is not an audited financial statement, tax opinion, investment recommendation, offer, solicitation or guarantee of future performance.</w:t>
      </w:r>
    </w:p>
    <w:p>
      <w:pPr>
        <w:pStyle w:val="Heading1"/>
        <w:keepLines/>
      </w:pPr>
      <w:r>
        <w:rPr>
          <w:rFonts w:ascii="Aptos" w:hAnsi="Aptos" w:eastAsia="Aptos"/>
          <w:b/>
          <w:i w:val="0"/>
          <w:color w:val="07182B"/>
          <w:sz w:val="32"/>
        </w:rPr>
        <w:t>3. Performance Dashboard</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this dashboard from approved portfolio performance records. Returns should be marked clearly as gross or net of fees. Confirm whether the benchmark is price return, total return or custom mandate benchmark.</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23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Measure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Benchmark</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Excess / Shortfall</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Gross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{gross_return_qtd}</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{gross_return_ytd}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{gross_return_si}</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{benchmark_gross_return}</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{gross_excess_return}</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Net</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{net_return_qtd}</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{net_return_ytd}</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{net_return_si}</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{benchmark_net_return}</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{net_excess_return}</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Opening Market Value</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{opening_market_value}</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{opening_market_value_ytd}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{inception_value}</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Closing Market Value</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{closing_market_value}</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{closing_market_value_ytd}</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{closing_market_value_si}</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 Contributions / Withdrawals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{net_cash_flows_qtd}</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{net_cash_flows_ytd}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{net_cash_flows_si}</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 P&amp;L</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{realised_pnl_qtd}</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{realised_pnl_ytd}</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{realised_pnl_si}</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 P&amp;L</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{unrealised_pnl_qtd}</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{unrealised_pnl_ytd}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{unrealised_pnl_si}</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r>
    </w:tbl>
    <w:p>
      <w:pPr>
        <w:pStyle w:val="Heading1"/>
        <w:keepLines/>
      </w:pPr>
      <w:r>
        <w:rPr>
          <w:rFonts w:ascii="Aptos" w:hAnsi="Aptos" w:eastAsia="Aptos"/>
          <w:b/>
          <w:i w:val="0"/>
          <w:color w:val="07182B"/>
          <w:sz w:val="32"/>
        </w:rPr>
        <w:t>4. Return Calculation Methodology</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0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Field</w:t>
            </w:r>
          </w:p>
        </w:tc>
        <w:tc>
          <w:tcPr>
            <w:tcW w:type="dxa" w:w="63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Approved Basis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Return Method</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{time_weighted_or_money_weighted_return_method}</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Gross / Net Basis</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{gross_net_fee_basis}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Income Treatment</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{income_reinvested_or_cash_basis}</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FX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{fx_rate_source_and_translation_basis}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Benchmark Basis</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{benchmark_total_return_price_return_custom_basis}</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Material Cash Flow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{cash_flow_treatment_policy}</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Pricing Source</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{approved_pricing_source}</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Performance Approval Date</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{performance_approval_date}</w:t>
            </w:r>
          </w:p>
        </w:tc>
      </w:tr>
    </w:tbl>
    <w:p>
      <w:pPr>
        <w:pStyle w:val="Heading1"/>
        <w:keepLines/>
      </w:pPr>
      <w:r>
        <w:rPr>
          <w:rFonts w:ascii="Aptos" w:hAnsi="Aptos" w:eastAsia="Aptos"/>
          <w:b/>
          <w:i w:val="0"/>
          <w:color w:val="07182B"/>
          <w:sz w:val="32"/>
        </w:rPr>
        <w:t>5. Periodic Performance Summary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Use this section for monthly or quarterly performance comparison. Add or remove rows based on the reporting period, but retain the benchmark and excess return columns.</w:t>
            </w:r>
          </w:p>
        </w:tc>
      </w:tr>
    </w:tbl>
    <w:tbl>
      <w:tblPr>
        <w:tblStyle w:val="TableGrid"/>
        <w:tblW w:type="auto" w:w="0"/>
        <w:jc w:val="center"/>
        <w:tblLook w:firstColumn="1" w:firstRow="1" w:lastColumn="0" w:lastRow="0" w:noHBand="0" w:noVBand="1" w:val="04A0"/>
      </w:tblPr>
      <w:tblGrid>
        <w:gridCol w:w="1051"/>
        <w:gridCol w:w="1051"/>
        <w:gridCol w:w="1051"/>
        <w:gridCol w:w="1051"/>
        <w:gridCol w:w="1051"/>
        <w:gridCol w:w="1051"/>
        <w:gridCol w:w="1051"/>
        <w:gridCol w:w="1051"/>
        <w:gridCol w:w="1051"/>
        <w:gridCol w:w="1051"/>
      </w:tblGrid>
      <w:tr>
        <w:trPr>
          <w:tblHeader w:val="true"/>
        </w:trPr>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Period</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Opening Value</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Net Cash Flow</w:t>
            </w:r>
          </w:p>
        </w:tc>
        <w:tc>
          <w:tcPr>
            <w:tcW w:type="dxa" w:w="86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Income</w:t>
            </w:r>
          </w:p>
        </w:tc>
        <w:tc>
          <w:tcPr>
            <w:tcW w:type="dxa" w:w="979"/>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Closing Value</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Return</w:t>
            </w:r>
          </w:p>
        </w:tc>
        <w:tc>
          <w:tcPr>
            <w:tcW w:type="dxa" w:w="90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w:t>
            </w:r>
          </w:p>
        </w:tc>
        <w:tc>
          <w:tcPr>
            <w:tcW w:type="dxa" w:w="82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Excess</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{month_or_quarter_1}</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{opening_value_1}</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{net_cash_flow_1}</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{income_1}</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{realised_pnl_1}</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{unrealised_pnl_1}</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{closing_value_1}</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{portfolio_return_1}</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{benchmark_return_1}</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{excess_return_1}</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{month_or_quarter_2}</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{opening_value_2}</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{net_cash_flow_2}</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{income_2}</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{realised_pnl_2}</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{unrealised_pnl_2}</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{closing_value_2}</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{portfolio_return_2}</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{benchmark_return_2}</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{excess_return_2}</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{month_or_quarter_3}</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{opening_value_3}</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{net_cash_flow_3}</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{income_3}</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{realised_pnl_3}</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{unrealised_pnl_3}</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{closing_value_3}</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{portfolio_return_3}</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{benchmark_return_3}</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{excess_return_3}</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 / Quarter</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{opening_value_total}</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{net_cash_flow_total}</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{income_total}</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{realised_pnl_total}</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{unrealised_pnl_total}</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{closing_value_total}</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{portfolio_return_total}</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{benchmark_return_total}</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{excess_return_total}</w:t>
            </w:r>
          </w:p>
        </w:tc>
      </w:tr>
    </w:tbl>
    <w:p>
      <w:pPr>
        <w:pStyle w:val="Heading1"/>
        <w:keepLines/>
      </w:pPr>
      <w:r>
        <w:rPr>
          <w:rFonts w:ascii="Aptos" w:hAnsi="Aptos" w:eastAsia="Aptos"/>
          <w:b/>
          <w:i w:val="0"/>
          <w:color w:val="07182B"/>
          <w:sz w:val="32"/>
        </w:rPr>
        <w:t>6. Benchmark Comparison and Attribution</w:t>
      </w:r>
    </w:p>
    <w:p>
      <w:pPr>
        <w:spacing w:before="0" w:after="120" w:line="240" w:lineRule="auto"/>
      </w:pPr>
      <w:r>
        <w:rPr>
          <w:rFonts w:ascii="Aptos" w:hAnsi="Aptos" w:eastAsia="Aptos"/>
          <w:b w:val="0"/>
          <w:i w:val="0"/>
        </w:rPr>
        <w:t xml:space="preserve">For the reporting period, the portfolio returned </w:t>
      </w:r>
      <w:r>
        <w:rPr>
          <w:rFonts w:ascii="Aptos" w:hAnsi="Aptos" w:eastAsia="Aptos"/>
          <w:b w:val="0"/>
          <w:highlight w:val="yellow"/>
        </w:rPr>
        <w:t>{portfolio_return_total}</w:t>
      </w:r>
      <w:r>
        <w:rPr>
          <w:rFonts w:ascii="Aptos" w:hAnsi="Aptos" w:eastAsia="Aptos"/>
          <w:b w:val="0"/>
          <w:i w:val="0"/>
        </w:rPr>
        <w:t xml:space="preserve"> compared with the benchmark return of </w:t>
      </w:r>
      <w:r>
        <w:rPr>
          <w:rFonts w:ascii="Aptos" w:hAnsi="Aptos" w:eastAsia="Aptos"/>
          <w:b w:val="0"/>
          <w:highlight w:val="yellow"/>
        </w:rPr>
        <w:t>{benchmark_return_total}</w:t>
      </w:r>
      <w:r>
        <w:rPr>
          <w:rFonts w:ascii="Aptos" w:hAnsi="Aptos" w:eastAsia="Aptos"/>
          <w:b w:val="0"/>
          <w:i w:val="0"/>
        </w:rPr>
        <w:t xml:space="preserve">, resulting in an excess / shortfall of </w:t>
      </w:r>
      <w:r>
        <w:rPr>
          <w:rFonts w:ascii="Aptos" w:hAnsi="Aptos" w:eastAsia="Aptos"/>
          <w:b w:val="0"/>
          <w:highlight w:val="yellow"/>
        </w:rPr>
        <w:t>{excess_return_total}</w:t>
      </w:r>
      <w:r>
        <w:rPr>
          <w:rFonts w:ascii="Aptos" w:hAnsi="Aptos" w:eastAsia="Aptos"/>
          <w:b w:val="0"/>
          <w:i w:val="0"/>
        </w:rPr>
        <w:t>. Key drivers of relative performance are summarised below.</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Driver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Allocation Effect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Selection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Currency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Total Effect</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{asset_class_or_sector_1}</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{portfolio_weight_1}</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{benchmark_weight_1}</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{allocation_effect_1}</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{selection_effect_1}</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{currency_effect_1}</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{total_effect_1}</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{commentary_1}</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{asset_class_or_sector_2}</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{portfolio_weight_2}</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{benchmark_weight_2}</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{allocation_effect_2}</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{selection_effect_2}</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{currency_effect_2}</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{total_effect_2}</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{commentary_2}</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{asset_class_or_sector_3}</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{portfolio_weight_3}</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{benchmark_weight_3}</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{allocation_effect_3}</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{selection_effect_3}</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{currency_effect_3}</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{total_effect_3}</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{commentary_3}</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{portfolio_weight_total}</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{benchmark_weight_total}</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{allocation_effect_total}</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{selection_effect_total}</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{currency_effect_total}</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{total_attribution_effect}</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{summary_commentary}</w:t>
            </w:r>
          </w:p>
        </w:tc>
      </w:tr>
    </w:tbl>
    <w:p>
      <w:r>
        <w:br w:type="page"/>
      </w:r>
    </w:p>
    <w:p>
      <w:pPr>
        <w:pStyle w:val="Heading1"/>
        <w:keepLines/>
      </w:pPr>
      <w:r>
        <w:rPr>
          <w:rFonts w:ascii="Aptos" w:hAnsi="Aptos" w:eastAsia="Aptos"/>
          <w:b/>
          <w:i w:val="0"/>
          <w:color w:val="07182B"/>
          <w:sz w:val="32"/>
        </w:rPr>
        <w:t>7. Contribution to Return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top and bottom contributors from approved holdings and performance attribution records. Avoid naming securities where the client mandate or confidentiality restrictions prohibit disclosure.</w:t>
            </w:r>
          </w:p>
        </w:tc>
      </w:tr>
    </w:tbl>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Security / Holding</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Asset Class</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Average Weight</w:t>
            </w:r>
          </w:p>
        </w:tc>
        <w:tc>
          <w:tcPr>
            <w:tcW w:type="dxa" w:w="7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Return</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Contribution</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{top_contributor_1}</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{asset_class_1}</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{avg_weight_1}</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{return_1}</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{contribution_1}</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{realised_pnl_1}</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{unrealised_pnl_1}</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{contributor_commentary_1}</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{top_contributor_2}</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{asset_class_2}</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{avg_weight_2}</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{return_2}</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{contribution_2}</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{realised_pnl_2}</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{unrealised_pnl_2}</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{contributor_commentary_2}</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{bottom_contributor_1}</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{asset_class_3}</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{avg_weight_3}</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{return_3}</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{contribution_3}</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{realised_pnl_3}</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{unrealised_pnl_3}</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{contributor_commentary_3}</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{bottom_contributor_2}</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{asset_class_4}</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{avg_weight_4}</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{return_4}</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{contribution_4}</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{realised_pnl_4}</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{unrealised_pnl_4}</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{contributor_commentary_4}</w:t>
            </w:r>
          </w:p>
        </w:tc>
      </w:tr>
    </w:tbl>
    <w:p>
      <w:pPr>
        <w:pStyle w:val="Heading1"/>
        <w:keepLines/>
      </w:pPr>
      <w:r>
        <w:rPr>
          <w:rFonts w:ascii="Aptos" w:hAnsi="Aptos" w:eastAsia="Aptos"/>
          <w:b/>
          <w:i w:val="0"/>
          <w:color w:val="07182B"/>
          <w:sz w:val="32"/>
        </w:rPr>
        <w:t>8. Realised and Unrealised P&amp;L Analysis</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01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P&amp;L Component</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31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Commentary</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{realised_gains_qtd}</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{realised_gains_ytd}</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{realised_gains_si}</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{realised_gains_commentary}</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{realised_losses_qtd}</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{realised_losses_ytd}</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{realised_losses_si}</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{realised_losses_commentary}</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{unrealised_gains_qtd}</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{unrealised_gains_ytd}</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{unrealised_gains_si}</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{unrealised_gains_commentary}</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{unrealised_losses_qtd}</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{unrealised_losses_ytd}</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{unrealised_losses_si}</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{unrealised_losses_commentary}</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FX Gains / Losses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{fx_gain_loss_qtd}</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{fx_gain_loss_ytd}</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{fx_gain_loss_si}</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{fx_commentary}</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Total P&amp;L</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{total_pnl_qtd}</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{total_pnl_ytd}</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{total_pnl_si}</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{total_pnl_commentary}</w:t>
            </w:r>
          </w:p>
        </w:tc>
      </w:tr>
    </w:tbl>
    <w:p>
      <w:pPr>
        <w:pStyle w:val="Heading1"/>
        <w:keepLines/>
      </w:pPr>
      <w:r>
        <w:rPr>
          <w:rFonts w:ascii="Aptos" w:hAnsi="Aptos" w:eastAsia="Aptos"/>
          <w:b/>
          <w:i w:val="0"/>
          <w:color w:val="07182B"/>
          <w:sz w:val="32"/>
        </w:rPr>
        <w:t>9. Income, Fees and Cash Flow Impact</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Component</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Amount</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Return Impact</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Treatment in Performance</w:t>
            </w:r>
          </w:p>
        </w:tc>
        <w:tc>
          <w:tcPr>
            <w:tcW w:type="dxa" w:w="25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Dividends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{dividend_income}</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{dividend_return_impact}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{dividend_performance_treatment}</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{dividend_commentary}</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Coupon / Interest Income</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{interest_income}</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{interest_return_impact}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{interest_treatment}</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{interest_commentary}</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Management Fees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{management_fees}</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{management_fee_return_impact}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{fee_treatment}</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{fee_commentary}</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Custody / Transaction Costs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{custody_transaction_costs}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{cost_return_impact}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{cost_treatment}</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{cost_commentary}</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Contributions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{client_contributions}</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N/A</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{contribution_treatment}</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{contribution_commentary}</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Withdrawals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{client_withdrawals}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N/A</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{withdrawal_treatment}</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{withdrawal_commentary}</w:t>
            </w:r>
          </w:p>
        </w:tc>
      </w:tr>
    </w:tbl>
    <w:p>
      <w:r>
        <w:br w:type="page"/>
      </w:r>
    </w:p>
    <w:p>
      <w:pPr>
        <w:pStyle w:val="Heading1"/>
        <w:keepLines/>
      </w:pPr>
      <w:r>
        <w:rPr>
          <w:rFonts w:ascii="Aptos" w:hAnsi="Aptos" w:eastAsia="Aptos"/>
          <w:b/>
          <w:i w:val="0"/>
          <w:color w:val="07182B"/>
          <w:sz w:val="32"/>
        </w:rPr>
        <w:t>10. Risk and Return Metrics</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Include only metrics approved for the relevant mandate. Where insufficient history exists, mark as not available and explain the limitation.</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72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Metric</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Portfolio</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Benchmark</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Limit / Target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27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Volatility</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{portfolio_volatility}</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{benchmark_volatility}</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{volatility_limit}</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{volatility_status}</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{volatility_commentary}</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Tracking Error</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{tracking_error}</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{benchmark_tracking_error}</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{tracking_error_limit}</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{tracking_error_status}</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{tracking_error_commentary}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Sharpe Ratio</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{portfolio_sharpe}</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{benchmark_sharpe}</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{sharpe_target}</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{sharpe_status}</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{sharpe_commentary}</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Information Ratio</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{information_ratio}</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{benchmark_information_ratio}</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{information_ratio_target}</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{information_ratio_status}</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{information_ratio_commentary}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Maximum Drawdown</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{max_drawdown}</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{benchmark_drawdown}</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{drawdown_limit}</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{drawdown_status}</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{drawdown_commentary}</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Liquidity Profile</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{liquidity_metric}</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N/A</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{liquidity_limit}</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{liquidity_status}</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{liquidity_commentary}</w:t>
            </w:r>
          </w:p>
        </w:tc>
      </w:tr>
    </w:tbl>
    <w:p>
      <w:pPr>
        <w:pStyle w:val="Heading1"/>
        <w:keepLines/>
      </w:pPr>
      <w:r>
        <w:rPr>
          <w:rFonts w:ascii="Aptos" w:hAnsi="Aptos" w:eastAsia="Aptos"/>
          <w:b/>
          <w:i w:val="0"/>
          <w:color w:val="07182B"/>
          <w:sz w:val="32"/>
        </w:rPr>
        <w:t>11. Portfolio Manager Commentary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Keep commentary professional, factual and consistent with the approved investment thesis, mandate, valuation records and transaction records. Do not include forward-looking promises or guaranteed-return wording.</w:t>
            </w:r>
          </w:p>
        </w:tc>
      </w:tr>
    </w:tbl>
    <w:p>
      <w:pPr>
        <w:spacing w:before="0" w:after="120" w:line="240" w:lineRule="auto"/>
      </w:pPr>
      <w:r>
        <w:rPr>
          <w:rFonts w:ascii="Aptos" w:hAnsi="Aptos" w:eastAsia="Aptos"/>
          <w:b/>
          <w:i w:val="0"/>
          <w:color w:val="07182B"/>
          <w:sz w:val="18"/>
        </w:rPr>
        <w:t xml:space="preserve">Market Context: </w:t>
      </w:r>
      <w:r>
        <w:rPr>
          <w:rFonts w:ascii="Aptos" w:hAnsi="Aptos" w:eastAsia="Aptos"/>
          <w:b w:val="0"/>
          <w:highlight w:val="yellow"/>
        </w:rPr>
        <w:t>{market_context_commentary}</w:t>
      </w:r>
    </w:p>
    <w:p>
      <w:pPr>
        <w:spacing w:before="0" w:after="120" w:line="240" w:lineRule="auto"/>
      </w:pPr>
      <w:r>
        <w:rPr>
          <w:rFonts w:ascii="Aptos" w:hAnsi="Aptos" w:eastAsia="Aptos"/>
          <w:b/>
          <w:i w:val="0"/>
          <w:color w:val="07182B"/>
          <w:sz w:val="18"/>
        </w:rPr>
        <w:t xml:space="preserve">Portfolio Performance Drivers: </w:t>
      </w:r>
      <w:r>
        <w:rPr>
          <w:rFonts w:ascii="Aptos" w:hAnsi="Aptos" w:eastAsia="Aptos"/>
          <w:b w:val="0"/>
          <w:highlight w:val="yellow"/>
        </w:rPr>
        <w:t>{performance_drivers_commentary}</w:t>
      </w:r>
    </w:p>
    <w:p>
      <w:pPr>
        <w:spacing w:before="0" w:after="120" w:line="240" w:lineRule="auto"/>
      </w:pPr>
      <w:r>
        <w:rPr>
          <w:rFonts w:ascii="Aptos" w:hAnsi="Aptos" w:eastAsia="Aptos"/>
          <w:b/>
          <w:i w:val="0"/>
          <w:color w:val="07182B"/>
          <w:sz w:val="18"/>
        </w:rPr>
        <w:t xml:space="preserve">Benchmark and Relative Performance: </w:t>
      </w:r>
      <w:r>
        <w:rPr>
          <w:rFonts w:ascii="Aptos" w:hAnsi="Aptos" w:eastAsia="Aptos"/>
          <w:b w:val="0"/>
          <w:highlight w:val="yellow"/>
        </w:rPr>
        <w:t>{benchmark_commentary}</w:t>
      </w:r>
    </w:p>
    <w:p>
      <w:pPr>
        <w:spacing w:before="0" w:after="120" w:line="240" w:lineRule="auto"/>
      </w:pPr>
      <w:r>
        <w:rPr>
          <w:rFonts w:ascii="Aptos" w:hAnsi="Aptos" w:eastAsia="Aptos"/>
          <w:b/>
          <w:i w:val="0"/>
          <w:color w:val="07182B"/>
          <w:sz w:val="18"/>
        </w:rPr>
        <w:t xml:space="preserve">Portfolio Positioning: </w:t>
      </w:r>
      <w:r>
        <w:rPr>
          <w:rFonts w:ascii="Aptos" w:hAnsi="Aptos" w:eastAsia="Aptos"/>
          <w:b w:val="0"/>
          <w:highlight w:val="yellow"/>
        </w:rPr>
        <w:t>{portfolio_positioning_commentary}</w:t>
      </w:r>
    </w:p>
    <w:p>
      <w:pPr>
        <w:spacing w:before="0" w:after="120" w:line="240" w:lineRule="auto"/>
      </w:pPr>
      <w:r>
        <w:rPr>
          <w:rFonts w:ascii="Aptos" w:hAnsi="Aptos" w:eastAsia="Aptos"/>
          <w:b/>
          <w:i w:val="0"/>
          <w:color w:val="07182B"/>
          <w:sz w:val="18"/>
        </w:rPr>
        <w:t xml:space="preserve">Outlook and Actions: </w:t>
      </w:r>
      <w:r>
        <w:rPr>
          <w:rFonts w:ascii="Aptos" w:hAnsi="Aptos" w:eastAsia="Aptos"/>
          <w:b w:val="0"/>
          <w:highlight w:val="yellow"/>
        </w:rPr>
        <w:t>{outlook_and_actions_commentary}</w:t>
      </w:r>
    </w:p>
    <w:p>
      <w:pPr>
        <w:pStyle w:val="Heading1"/>
        <w:keepLines/>
      </w:pPr>
      <w:r>
        <w:rPr>
          <w:rFonts w:ascii="Aptos" w:hAnsi="Aptos" w:eastAsia="Aptos"/>
          <w:b/>
          <w:i w:val="0"/>
          <w:color w:val="07182B"/>
          <w:sz w:val="32"/>
        </w:rPr>
        <w:t>12. Mandate Compliance and Performance Exceptions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37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Exception / Check</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Result</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Materiality</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Action Required</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Responsible Officer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Target Date</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outside mandate tolerance</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{performance_tolerance_result}</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{performance_tolerance_materiality}</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{performance_tolerance_action}</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{responsible_officer_1}</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{target_date_1}</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mismatch or stale benchmark data</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{benchmark_exception_result}</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{benchmark_exception_materiality}</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{benchmark_exception_action}</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{responsible_officer_2}</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{target_date_2}</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Missing / stale price impact</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{price_exception_result}</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{price_exception_materiality}</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{price_exception_action}</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{responsible_officer_3}</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{target_date_3}</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Unreconciled transaction or cash item</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{reconciliation_exception_result}</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{reconciliation_exception_materiality}</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{reconciliation_exception_action}</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{responsible_officer_4}</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{target_date_4}</w:t>
            </w:r>
          </w:p>
        </w:tc>
      </w:tr>
    </w:tbl>
    <w:p>
      <w:pPr>
        <w:pStyle w:val="Heading1"/>
        <w:keepLines/>
      </w:pPr>
      <w:r>
        <w:rPr>
          <w:rFonts w:ascii="Aptos" w:hAnsi="Aptos" w:eastAsia="Aptos"/>
          <w:b/>
          <w:i w:val="0"/>
          <w:color w:val="07182B"/>
          <w:sz w:val="32"/>
        </w:rPr>
        <w:t>13. Supporting Documents Register</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44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Document / Evidence</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Source</w:t>
            </w:r>
          </w:p>
        </w:tc>
        <w:tc>
          <w:tcPr>
            <w:tcW w:type="dxa" w:w="158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Reference</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Reviewed By</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portfolio valuation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Portfolio Valuation</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{valuation_report_reference}</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{reviewer_name_1}</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{status_1}</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Holdings report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Stock Price Collector / Valuation</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{holdings_report_reference}</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{reviewer_name_2}</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{status_2}</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Transaction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Trade / Transaction Ledger</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{transaction_report_reference}</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{reviewer_name_3}</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{status_3}</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data extract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Benchmark Source</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{benchmark_extract_reference}</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{reviewer_name_4}</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{status_4}</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and FX approval evidence</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 FX Records</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{pricing_fx_reference}</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{reviewer_name_5}</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{status_5}</w:t>
            </w:r>
          </w:p>
        </w:tc>
      </w:tr>
    </w:tbl>
    <w:p>
      <w:r>
        <w:br w:type="page"/>
      </w:r>
    </w:p>
    <w:p>
      <w:pPr>
        <w:pStyle w:val="Heading1"/>
        <w:keepLines/>
      </w:pPr>
      <w:r>
        <w:rPr>
          <w:rFonts w:ascii="Aptos" w:hAnsi="Aptos" w:eastAsia="Aptos"/>
          <w:b/>
          <w:i w:val="0"/>
          <w:color w:val="07182B"/>
          <w:sz w:val="32"/>
        </w:rPr>
        <w:t>14. Approval and Certification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Maker and checker must be different authorised users. Do not release the report until portfolio values, returns, benchmark data, cash flows, FX rates and exceptions have been reviewed and approved.</w:t>
            </w:r>
          </w:p>
        </w:tc>
      </w:tr>
    </w:tbl>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Role</w:t>
            </w:r>
          </w:p>
        </w:tc>
        <w:tc>
          <w:tcPr>
            <w:tcW w:type="dxa" w:w="180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Name</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Designation</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Date</w:t>
            </w:r>
          </w:p>
        </w:tc>
        <w:tc>
          <w:tcPr>
            <w:tcW w:type="dxa" w:w="25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Signature / Digital Approval</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Prepared By - Maker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{maker_name}</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{maker_designation}</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{maker_date}</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{maker_signature_or_digital_approval}</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Reviewed By - Portfolio Manager</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{portfolio_manager_name}</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{portfolio_manager_designation}</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{pm_review_date}</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{pm_signature_or_digital_approval}</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By - Checker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{checker_name}</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{checker_designation}</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{checker_date}</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{checker_signature_or_digital_approval}</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Released By</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{authorised_release_name}</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{authorised_release_designation}</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{release_date}</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{release_signature_or_digital_approval}</w:t>
            </w:r>
          </w:p>
        </w:tc>
      </w:tr>
    </w:tbl>
    <w:p>
      <w:pPr>
        <w:pStyle w:val="Heading1"/>
        <w:keepLines/>
      </w:pPr>
      <w:r>
        <w:rPr>
          <w:rFonts w:ascii="Aptos" w:hAnsi="Aptos" w:eastAsia="Aptos"/>
          <w:b/>
          <w:i w:val="0"/>
          <w:color w:val="07182B"/>
          <w:sz w:val="32"/>
        </w:rPr>
        <w:t>15. Arcus Audit, Version and Publication Controls</w:t>
      </w:r>
    </w:p>
    <w:tbl>
      <w:tblPr>
        <w:tblStyle w:val="TableGrid"/>
        <w:tblW w:type="auto" w:w="0"/>
        <w:jc w:val="center"/>
        <w:tblLook w:firstColumn="1" w:firstRow="1" w:lastColumn="0" w:lastRow="0" w:noHBand="0" w:noVBand="1" w:val="04A0"/>
      </w:tblPr>
      <w:tblGrid>
        <w:gridCol w:w="5256"/>
        <w:gridCol w:w="5256"/>
      </w:tblGrid>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Run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{reporting_run_id}</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Report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{generated_report_id}</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Source Module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{source_module_stock_price_collector_portfolio_valuation}</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Performance Calculation Batch</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{performance_calculation_batch_id}</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{valuation_snapshot_id}</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 Data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{benchmark_snapshot_id}</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{generated_by_user}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{generated_datetime}</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{approved_by_user}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Approval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{approval_datetime}</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Published to Client Portal</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{yes_no}</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Portal Publication Date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{portal_publication_date}</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Hash / Checksum</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{document_hash}</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Archive Status</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{archive_status}</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Reissue Reference, if any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{reissue_reference}</w:t>
            </w:r>
          </w:p>
        </w:tc>
      </w:tr>
    </w:tbl>
    <w:p>
      <w:pPr>
        <w:pStyle w:val="Heading1"/>
        <w:keepLines/>
      </w:pPr>
      <w:r>
        <w:rPr>
          <w:rFonts w:ascii="Aptos" w:hAnsi="Aptos" w:eastAsia="Aptos"/>
          <w:b/>
          <w:i w:val="0"/>
          <w:color w:val="07182B"/>
          <w:sz w:val="32"/>
        </w:rPr>
        <w:t>16. Final Release Checklist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Control</w:t>
            </w:r>
          </w:p>
        </w:tc>
        <w:tc>
          <w:tcPr>
            <w:tcW w:type="dxa" w:w="43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Required Confirmation</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source data</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holdings, trades, prices, FX rates and cash balances are approved.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{status_source_data}</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{reviewer_source_data}</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validation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source, methodology and period have been validated.</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{status_benchmark}</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{reviewer_benchmark}</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methodology</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Return basis and fee treatment are correctly disclosed.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{status_methodology}</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{reviewer_methodology}</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P&amp;L reconciliation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Realised and unrealised P&amp;L reconcile to approved records.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{status_pnl}</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{reviewer_pnl}</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Exceptions</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material exceptions are resolved or authorised.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{status_exceptions}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{reviewer_exceptions}</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Maker-checker</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 and checker are different authorised users.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{status_maker_checker}</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{reviewer_maker_checker}</w:t>
            </w:r>
          </w:p>
        </w:tc>
      </w:tr>
    </w:tbl>
    <w:p>
      <w:pPr>
        <w:spacing w:before="160" w:after="0" w:line="240" w:lineRule="auto"/>
        <w:jc w:val="center"/>
      </w:pPr>
      <w:r>
        <w:rPr>
          <w:rFonts w:ascii="Aptos" w:hAnsi="Aptos" w:eastAsia="Aptos"/>
          <w:b/>
          <w:i w:val="0"/>
          <w:color w:val="07182B"/>
          <w:sz w:val="18"/>
        </w:rPr>
        <w:t>End of Performance Report</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eastAsia="Aptos"/>
        <w:b w:val="0"/>
        <w:i w:val="0"/>
        <w:color w:val="44546A"/>
        <w:sz w:val="15"/>
      </w:rPr>
      <w:t xml:space="preserve">Confidential | {asset_manager_name} | {client_portfolio_name} | {reporting_period}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ptos" w:hAnsi="Aptos" w:eastAsia="Aptos"/>
        <w:b/>
        <w:i w:val="0"/>
        <w:color w:val="1E88E5"/>
        <w:sz w:val="20"/>
      </w:rPr>
      <w:t>■</w:t>
    </w:r>
    <w:r>
      <w:rPr>
        <w:rFonts w:ascii="Aptos" w:hAnsi="Aptos" w:eastAsia="Aptos"/>
        <w:b/>
        <w:i w:val="0"/>
        <w:color w:val="07182B"/>
        <w:sz w:val="17"/>
      </w:rPr>
      <w:t xml:space="preserve">  ARCUS REPORTING TEMPLATE</w:t>
    </w:r>
    <w:r>
      <w:rPr>
        <w:rFonts w:ascii="Aptos" w:hAnsi="Aptos" w:eastAsia="Aptos"/>
        <w:b w:val="0"/>
        <w:i w:val="0"/>
        <w:color w:val="44546A"/>
        <w:sz w:val="16"/>
      </w:rPr>
      <w:t xml:space="preserve">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07182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E88E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E88E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color w:val="111827"/>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usSmallNote">
    <w:name w:val="Arcus Small Note"/>
    <w:rPr>
      <w:rFonts w:ascii="Aptos" w:hAnsi="Aptos" w:eastAsia="Aptos"/>
      <w:color w:val="4454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Arcus Performance Report Template</dc:title>
  <dc:subject>Asset Manager Reporting Template</dc:subject>
  <dc:creator>Arcus Reporting Template Generator</dc:creator>
  <cp:keywords>Arcus, Performance Report, Asset Management, Portfolio Valuation, Zimbabwe</cp:keywords>
  <dc:description>generated by python-docx</dc:description>
  <cp:lastModifiedBy/>
  <cp:revision>1</cp:revision>
  <dcterms:created xsi:type="dcterms:W3CDTF">2013-12-23T23:15:00Z</dcterms:created>
  <dcterms:modified xsi:type="dcterms:W3CDTF">2013-12-23T23:15:00Z</dcterms:modified>
  <cp:category/>
</cp:coreProperties>
</file>