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5256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fill="138AE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LOGO</w:t>
              <w:br/>
              <w:t>PLACEHOLDER</w:t>
            </w:r>
          </w:p>
        </w:tc>
        <w:tc>
          <w:tcPr>
            <w:tcW w:type="dxa" w:w="52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rPr>
                <w:rFonts w:ascii="Aptos" w:hAnsi="Aptos"/>
                <w:b/>
                <w:i w:val="0"/>
                <w:color w:val="000000"/>
                <w:sz w:val="32"/>
                <w:highlight w:val="yellow"/>
              </w:rPr>
              <w:t>{asset_manager_name}</w:t>
            </w:r>
          </w:p>
          <w:p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Registered Office: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{registered_office_address}</w:t>
            </w:r>
          </w:p>
          <w:p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Company Registration Number: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{company_registration_number}</w:t>
            </w:r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 | SECZIM Licence Number: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{seczim_licence_number}</w:t>
            </w:r>
          </w:p>
          <w:p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Email: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{official_email}</w:t>
            </w:r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 | Telephone: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{telephone_number}</w:t>
            </w:r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 | Website: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{website}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38AEF"/>
            <w:tcBorders>
              <w:top w:val="single" w:sz="0" w:space="0" w:color="138AEF"/>
              <w:left w:val="single" w:sz="0" w:space="0" w:color="138AEF"/>
              <w:bottom w:val="single" w:sz="0" w:space="0" w:color="138AEF"/>
              <w:right w:val="single" w:sz="0" w:space="0" w:color="138AEF"/>
            </w:tcBorders>
          </w:tcPr>
          <w:p/>
        </w:tc>
      </w:tr>
    </w:tbl>
    <w:p>
      <w:pPr>
        <w:spacing w:after="240"/>
      </w:pPr>
    </w:p>
    <w:p>
      <w:pPr>
        <w:spacing w:after="20"/>
        <w:jc w:val="center"/>
      </w:pPr>
      <w:r>
        <w:rPr>
          <w:rFonts w:ascii="Aptos" w:hAnsi="Aptos"/>
          <w:b/>
          <w:i w:val="0"/>
          <w:color w:val="071A2F"/>
          <w:sz w:val="48"/>
        </w:rPr>
        <w:t>AUM / FUM MOVEMENT REPORT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138AEF"/>
          <w:sz w:val="24"/>
        </w:rPr>
        <w:t>Assets Under Management / Funds Under Management Movement Schedule</w:t>
      </w:r>
    </w:p>
    <w:p>
      <w:pPr>
        <w:spacing w:after="240"/>
        <w:jc w:val="center"/>
      </w:pPr>
      <w:r>
        <w:rPr>
          <w:rFonts w:ascii="Aptos" w:hAnsi="Aptos"/>
          <w:b/>
          <w:i w:val="0"/>
          <w:color w:val="071A2F"/>
          <w:sz w:val="22"/>
        </w:rPr>
        <w:t xml:space="preserve">For the period ended </w:t>
      </w:r>
      <w:r>
        <w:rPr>
          <w:rFonts w:ascii="Aptos" w:hAnsi="Aptos"/>
          <w:b/>
          <w:i w:val="0"/>
          <w:color w:val="000000"/>
          <w:sz w:val="22"/>
          <w:highlight w:val="yellow"/>
        </w:rPr>
        <w:t>{quarter_end_date}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31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Asset Manager / Entity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{asset_manager_name}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 Recipient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{recipient_name}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Reporting Period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{quarter_start_date}</w:t>
            </w:r>
            <w:r>
              <w:rPr>
                <w:rFonts w:ascii="Aptos" w:hAnsi="Aptos"/>
                <w:b w:val="0"/>
                <w:i w:val="0"/>
                <w:sz w:val="18"/>
              </w:rPr>
              <w:t xml:space="preserve"> to </w:t>
            </w:r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{quarter_end_date}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Base Currency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{base_currency}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Reporting Currency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{reporting_currency}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 Run ID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{reporting_run_id}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Document Status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{draft_approved_published_archived}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Version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>{version_number}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This template is designed for system-generated AUM/FUM movement reporting. Replace only yellow-highlighted placeholders. Blue instruction boxes are drafting guidance and should be removed before final approval or publication.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1. Template Control and Editing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Yellow highlighted fields represent editable or system-populated data points. Do not edit the unhighlighted legal, control and approval wording unless approved by the compliance officer or authorised officer.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Marker</w:t>
            </w:r>
          </w:p>
        </w:tc>
        <w:tc>
          <w:tcPr>
            <w:tcW w:type="dxa" w:w="403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45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Action Required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Yellow highlighted placeholders</w:t>
            </w:r>
          </w:p>
        </w:tc>
        <w:tc>
          <w:tcPr>
            <w:tcW w:type="dxa" w:w="403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System value, editable input, or report-specific data field</w:t>
            </w:r>
          </w:p>
        </w:tc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Replace with approved Arcus data or authorised commentary.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Blue instruction boxes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Drafting guidance for preparers and reviewers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Delete before final issue unless retained as internal working notes.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Plain text</w:t>
            </w:r>
          </w:p>
        </w:tc>
        <w:tc>
          <w:tcPr>
            <w:tcW w:type="dxa" w:w="403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Standard report wording and controls</w:t>
            </w:r>
          </w:p>
        </w:tc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Leave unchanged unless legally or commercially approved.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2. Confidentiality and Reliance Notice</w:t>
      </w:r>
    </w:p>
    <w:p>
      <w:pPr>
        <w:spacing w:after="80"/>
      </w:pPr>
      <w:r>
        <w:rPr>
          <w:rFonts w:ascii="Aptos" w:hAnsi="Aptos"/>
          <w:b w:val="0"/>
          <w:i w:val="0"/>
          <w:sz w:val="19"/>
        </w:rPr>
        <w:t xml:space="preserve">This AUM / FUM Movement Report is confidential and is prepared solely for </w:t>
      </w:r>
      <w:r>
        <w:rPr>
          <w:rFonts w:ascii="Aptos" w:hAnsi="Aptos"/>
          <w:b/>
          <w:i w:val="0"/>
          <w:color w:val="000000"/>
          <w:sz w:val="19"/>
          <w:highlight w:val="yellow"/>
        </w:rPr>
        <w:t>{recipient_name}</w:t>
      </w:r>
      <w:r>
        <w:rPr>
          <w:rFonts w:ascii="Aptos" w:hAnsi="Aptos"/>
          <w:b w:val="0"/>
          <w:i w:val="0"/>
          <w:sz w:val="19"/>
        </w:rPr>
        <w:t xml:space="preserve"> and authorised internal, audit, compliance, regulatory or governance users of </w:t>
      </w:r>
      <w:r>
        <w:rPr>
          <w:rFonts w:ascii="Aptos" w:hAnsi="Aptos"/>
          <w:b/>
          <w:i w:val="0"/>
          <w:color w:val="000000"/>
          <w:sz w:val="19"/>
          <w:highlight w:val="yellow"/>
        </w:rPr>
        <w:t>{asset_manager_name}</w:t>
      </w:r>
      <w:r>
        <w:rPr>
          <w:rFonts w:ascii="Aptos" w:hAnsi="Aptos"/>
          <w:b w:val="0"/>
          <w:i w:val="0"/>
          <w:sz w:val="19"/>
        </w:rPr>
        <w:t>. It may not be copied, distributed or relied upon by any unauthorised third party without prior written consent, except where disclosure is required by law, regulation, court order or a competent authority.</w:t>
      </w:r>
    </w:p>
    <w:p>
      <w:pPr>
        <w:spacing w:after="80"/>
      </w:pPr>
      <w:r>
        <w:rPr>
          <w:rFonts w:ascii="Aptos" w:hAnsi="Aptos"/>
          <w:b w:val="0"/>
          <w:i w:val="0"/>
          <w:sz w:val="19"/>
        </w:rPr>
        <w:t>The report is prepared from approved portfolio valuation, client account, holdings, trade, cash, income, fee and FX records as maintained in Arcus. It is a management and regulatory-support schedule and does not constitute investment advice, a client mandate amendment, a tax opinion or a standalone statutory return unless expressly designated as such by an authorised officer.</w:t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3. Report Purpose and Source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Confirm the source module, valuation date, FX basis and approval status before finalising the report. A report should not be approved where prices, NAV, reconciliations or FX rates remain unapproved.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Area</w:t>
            </w:r>
          </w:p>
        </w:tc>
        <w:tc>
          <w:tcPr>
            <w:tcW w:type="dxa" w:w="72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Detail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Purpose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 xml:space="preserve">To show opening FUM/AUM, client inflows, client outflows, market gains/losses, FX movements, transfers, corrections and closing FUM/AUM for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{reporting_period}</w:t>
            </w:r>
            <w:r>
              <w:rPr>
                <w:rFonts w:ascii="Aptos" w:hAnsi="Aptos"/>
                <w:b w:val="0"/>
                <w:i w:val="0"/>
                <w:sz w:val="17"/>
              </w:rPr>
              <w:t>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Primary Source Module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Stock Price Collector / Portfolio Valuation module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Supporting Source Modules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Accounting, Client Accounts, Cashbook, Trade Blotter, Income Events, Fees, FX Rates and Reconciliation Items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Valuation Date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{valuation_date}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Data Snapshot Time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{data_snapshot_datetime}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Approved Price Source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{approved_price_source}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Approved FX Rate Source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{approved_fx_rate_source}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Checker Approver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>{checker_name}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4. Executive Movement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Use this section to provide a concise explanation of the main drivers of FUM/AUM movement: net flows, market performance, currency translation, new mandates, withdrawals and reclassifications.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Movement Metric</w:t>
            </w:r>
          </w:p>
        </w:tc>
        <w:tc>
          <w:tcPr>
            <w:tcW w:type="dxa" w:w="18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Current Period</w:t>
            </w:r>
          </w:p>
        </w:tc>
        <w:tc>
          <w:tcPr>
            <w:tcW w:type="dxa" w:w="18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 Period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Change</w:t>
            </w:r>
          </w:p>
        </w:tc>
        <w:tc>
          <w:tcPr>
            <w:tcW w:type="dxa" w:w="316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Commentary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Opening FUM / AUM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{opening_fum}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{prior_opening_fum}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{opening_change}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{opening_commentary}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Gross Inflows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{gross_inflows}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{prior_gross_inflows}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{inflow_change}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{inflow_commentary}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Gross Outflows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{gross_outflows}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{prior_gross_outflows}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{outflow_change}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{outflow_commentary}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Net Client Flows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{net_client_flows}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{prior_net_client_flows}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{net_flow_change}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{net_flow_commentary}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Market Gains / Losses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{market_gain_loss}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{prior_market_gain_loss}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{market_change}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{market_commentary}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FX Translation Movement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{fx_translation_movement}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{prior_fx_translation_movement}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{fx_change}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{fx_commentary}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Transfers / Reclassifications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{transfers_reclassifications}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{prior_transfers_reclassifications}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{transfer_change}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{transfer_commentary}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Closing FUM / AUM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{closing_fum}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{prior_closing_fum}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{closing_change}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{closing_commentary}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5. AUM / FUM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7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Bridge Component</w:t>
            </w:r>
          </w:p>
        </w:tc>
        <w:tc>
          <w:tcPr>
            <w:tcW w:type="dxa" w:w="187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Amount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% of Opening FUM/AUM</w:t>
            </w:r>
          </w:p>
        </w:tc>
        <w:tc>
          <w:tcPr>
            <w:tcW w:type="dxa" w:w="30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Prepared Comment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 xml:space="preserve">Opening FUM / AUM as at </w:t>
            </w:r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{quarter_start_date}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{opening_fum}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100.00%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{opening_fum_comment}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Add: New subscriptions / new client mandates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{new_subscriptions_new_mandates}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{new_subscriptions_pct}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{new_subscriptions_comment}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Add: Additional contributions / top-ups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{additional_contributions}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{additional_contributions_pct}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{additional_contributions_comment}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Less: Redemptions / withdrawals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{redemptions_withdrawals}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{redemptions_pct}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{redemptions_comment}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Less: Account closures / terminated mandates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{terminated_mandates}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{terminated_mandates_pct}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{terminated_mandates_comment}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Internal transfers and reclassifications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{internal_transfers_reclassifications}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{transfers_pct}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{transfers_comment}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Market value gains / losses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{market_value_gains_losses}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{market_value_pct}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{market_value_comment}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Income accruals and distributions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{income_accruals_distributions}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{income_pct}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{income_comment}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FX translation movement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{fx_translation_movement}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{fx_pct}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{fx_comment}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Corrections and prior-period adjustments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{corrections_adjustments}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{corrections_pct}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{corrections_comment}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 xml:space="preserve">Closing FUM / AUM as at </w:t>
            </w:r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{quarter_end_date}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{closing_fum}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{closing_fum_pct}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{closing_fum_comment}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6. Movement by Client /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Populate this table from approved client account and portfolio valuation records. Use one row per material client portfolio, mandate, fund, scheme or sub-portfolio. Add rows as needed.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Client / Portfolio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FUM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Inflows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Outflows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Market Gain / Loss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Movement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FUM</w:t>
            </w:r>
          </w:p>
        </w:tc>
        <w:tc>
          <w:tcPr>
            <w:tcW w:type="dxa" w:w="93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Movement %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Status / Note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{client_portfolio_1}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{opening_fum_1}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{inflows_1}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{outflows_1}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{market_gain_loss_1}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{fx_movement_1}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{closing_fum_1}</w:t>
            </w:r>
          </w:p>
        </w:tc>
        <w:tc>
          <w:tcPr>
            <w:tcW w:type="dxa" w:w="9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{movement_pct_1}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{status_note_1}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{client_portfolio_2}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{opening_fum_2}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{inflows_2}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{outflows_2}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{market_gain_loss_2}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{fx_movement_2}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{closing_fum_2}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{movement_pct_2}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{status_note_2}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{client_portfolio_3}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{opening_fum_3}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{inflows_3}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{outflows_3}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{market_gain_loss_3}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{fx_movement_3}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{closing_fum_3}</w:t>
            </w:r>
          </w:p>
        </w:tc>
        <w:tc>
          <w:tcPr>
            <w:tcW w:type="dxa" w:w="9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{movement_pct_3}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{status_note_3}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{client_portfolio_4}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{opening_fum_4}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{inflows_4}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{outflows_4}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{market_gain_loss_4}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{fx_movement_4}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{closing_fum_4}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{movement_pct_4}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{status_note_4}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Total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{total_opening_fum}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{total_inflows}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{total_outflows}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{total_market_gain_loss}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{total_fx_movement}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{total_closing_fum}</w:t>
            </w:r>
          </w:p>
        </w:tc>
        <w:tc>
          <w:tcPr>
            <w:tcW w:type="dxa" w:w="9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{total_movement_pct}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{total_status_note}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7. Movement by Client Type / Mandate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201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Client / Mandate Type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FUM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Net 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Investment Return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Movement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FUM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% of Closing FUM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Commentary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Discretionary portfolios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{disc_opening}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{disc_return}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{disc_fx}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{disc_pct_closing}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{disc_commentary}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Advisory portfolios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{advisory_opening}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{advisory_net_flows}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{advisory_return}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{advisory_fx}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{advisory_closing}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{advisory_pct_closing}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{advisory_commentary}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Collective investment schemes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{cis_opening}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{cis_return}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{cis_fx}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{cis_pct_closing}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{cis_commentary}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Pension mandates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{pension_opening}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{pension_net_flows}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{pension_return}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{pension_fx}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{pension_closing}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{pension_pct_closing}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{pension_commentary}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Institutional mandates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{institutional_opening}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{institutional_return}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{institutional_fx}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{institutional_pct_closing}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{institutional_commentary}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Retail / individual clients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{retail_opening}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{retail_net_flows}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{retail_return}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{retail_fx}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{retail_closing}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{retail_pct_closing}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{retail_commentary}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Total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{type_total_opening}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{type_total_net_flows}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{type_total_return}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{type_total_fx}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{type_total_closing}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3"/>
              </w:rPr>
              <w:t>100.00%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{type_total_commentary}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8. Detailed AUM / FUM Movement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This landscape schedule is for the full movement extract. Add rows as required. Values should reconcile to the summary bridge and the approved portfolio valuation snapshot.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Portfolio ID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Client / Fund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Mandate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Currency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Opening FUM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Subscriptions / Inflows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Redemptions / Outflows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Income / Distributions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Market Gain / Loss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FX Movement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Corrections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Closing FUM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Reconciled?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Notes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{portfolio_id_1}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{client_fund_1}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{mandate_type_1}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{currency_1}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{opening_fum_1}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{subscriptions_inflows_1}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{redemptions_outflows_1}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{income_distributions_1}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{market_gain_loss_1}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{fx_movement_1}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{corrections_1}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{closing_fum_1}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{reconciled_yes_no_1}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{notes_1}</w:t>
            </w:r>
          </w:p>
        </w:tc>
      </w:tr>
      <w:tr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{portfolio_id_2}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{client_fund_2}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{mandate_type_2}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{currency_2}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{opening_fum_2}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{subscriptions_inflows_2}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{redemptions_outflows_2}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{income_distributions_2}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{market_gain_loss_2}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{fx_movement_2}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{corrections_2}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{closing_fum_2}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{reconciled_yes_no_2}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{notes_2}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{portfolio_id_3}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{client_fund_3}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{mandate_type_3}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{currency_3}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{opening_fum_3}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{subscriptions_inflows_3}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{redemptions_outflows_3}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{income_distributions_3}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{market_gain_loss_3}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{fx_movement_3}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{corrections_3}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{closing_fum_3}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{reconciled_yes_no_3}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{notes_3}</w:t>
            </w:r>
          </w:p>
        </w:tc>
      </w:tr>
      <w:tr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{portfolio_id_4}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{client_fund_4}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{mandate_type_4}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{currency_4}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{opening_fum_4}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{subscriptions_inflows_4}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{redemptions_outflows_4}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{income_distributions_4}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{market_gain_loss_4}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{fx_movement_4}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{corrections_4}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{closing_fum_4}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{reconciled_yes_no_4}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{notes_4}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{portfolio_id_5}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{client_fund_5}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{mandate_type_5}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{currency_5}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{opening_fum_5}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{subscriptions_inflows_5}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{redemptions_outflows_5}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{income_distributions_5}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{market_gain_loss_5}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{fx_movement_5}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{corrections_5}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{closing_fum_5}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{reconciled_yes_no_5}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{notes_5}</w:t>
            </w:r>
          </w:p>
        </w:tc>
      </w:tr>
      <w:tr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{portfolio_id_6}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{client_fund_6}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{mandate_type_6}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{currency_6}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{opening_fum_6}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{subscriptions_inflows_6}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{redemptions_outflows_6}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{income_distributions_6}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{market_gain_loss_6}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{fx_movement_6}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{corrections_6}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{closing_fum_6}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{reconciled_yes_no_6}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{notes_6}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1"/>
              </w:rPr>
              <w:t>Total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{total_opening_fum}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{total_subscriptions_inflows}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{total_redemptions_outflows}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{total_income_distributions}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{total_market_gain_loss}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{total_fx_movement}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{total_corrections}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{total_closing_fum}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{total_reconciled_status}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>{total_notes}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9. Currency Split and FX Translation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Currency split should show USD, ZiG/ZWG and consolidated reporting views where applicable. FX rates must be approved before the report is locked.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Currency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FUM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Inflows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Outflows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Market Movement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Translation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FUM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Approved FX Rate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Approval Date</w:t>
            </w:r>
          </w:p>
        </w:tc>
      </w:tr>
      <w:tr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USD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{usd_opening_fum}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{usd_inflows}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{usd_outflows}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{usd_market_movement}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{usd_fx_translation}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{usd_closing_fum}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{usd_fx_rate}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{usd_fx_approval_date}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ZiG / ZWG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{zig_opening_fum}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{zig_inflows}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{zig_outflows}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{zig_market_movement}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{zig_fx_translation}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{zig_closing_fum}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{zig_fx_rate}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{zig_fx_approval_date}</w:t>
            </w:r>
          </w:p>
        </w:tc>
      </w:tr>
      <w:tr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 xml:space="preserve">Other currency: </w:t>
            </w:r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{other_currency}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{other_opening_fum}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{other_inflows}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{other_outflows}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{other_market_movement}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{other_fx_translation}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{other_closing_fum}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{other_fx_rate}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{other_fx_approval_date}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Consolidated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{consolidated_opening_fum}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{consolidated_inflows}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{consolidated_outflows}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{consolidated_market_movement}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{consolidated_fx_translation}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{consolidated_closing_fum}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{consolidated_fx_rate_basis}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{consolidated_fx_approval_date}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10. Movement by Asset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8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Asset Class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Value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Net 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Market Gain / Loss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Income Effect</w:t>
            </w:r>
          </w:p>
        </w:tc>
        <w:tc>
          <w:tcPr>
            <w:tcW w:type="dxa" w:w="100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Effect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Value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% of Closing FUM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Commentary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Cash and cash equivalents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{cash_opening}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{cash_market_gain_loss}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{cash_income_effect}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{cash_fx_effect}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{cash_pct_closing}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{cash_commentary}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Money market instruments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{money_market_opening}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{money_market_net_flows}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{money_market_market_gain_loss}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{money_market_income_effect}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{money_market_fx_effect}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{money_market_closing}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{money_market_pct_closing}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{money_market_commentary}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Listed equities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{listed_equities_opening}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{listed_equities_market_gain_loss}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{listed_equities_income_effect}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{listed_equities_fx_effect}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{listed_equities_pct_closing}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{listed_equities_commentary}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Bonds / fixed income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{bonds_opening}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{bonds_net_flows}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{bonds_market_gain_loss}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{bonds_income_effect}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{bonds_fx_effect}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{bonds_closing}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{bonds_pct_closing}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{bonds_commentary}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Property / REITs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{property_opening}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{property_market_gain_loss}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{property_income_effect}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{property_fx_effect}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{property_pct_closing}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{property_commentary}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Unquoted / alternative investments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{alternatives_opening}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{alternatives_net_flows}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{alternatives_market_gain_loss}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{alternatives_income_effect}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{alternatives_fx_effect}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{alternatives_closing}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{alternatives_pct_closing}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{alternatives_commentary}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Total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{asset_class_total_opening}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{asset_class_total_net_flows}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{asset_class_total_market_gain_loss}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{asset_class_total_income_effect}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{asset_class_total_fx_effect}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{asset_class_total_closing}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3"/>
              </w:rPr>
              <w:t>100.00%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{asset_class_total_commentary}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11. Flow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44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Flow Category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Number of Transactions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Gross Amount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% of Opening FUM</w:t>
            </w:r>
          </w:p>
        </w:tc>
        <w:tc>
          <w:tcPr>
            <w:tcW w:type="dxa" w:w="316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Commentary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New clients / new mandates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{new_client_count}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{new_client_gross_amount}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{new_client_pct_opening_fum}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{new_client_commentary}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Existing client top-ups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{topup_count}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{topup_gross_amount}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{topup_pct_opening_fum}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{topup_commentary}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Redemptions / withdrawals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{redemption_count}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{redemption_gross_amount}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{redemption_pct_opening_fum}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{redemption_commentary}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Terminated mandates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{terminated_mandate_count}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{terminated_mandate_gross_amount}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{terminated_mandate_pct_opening_fum}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{terminated_mandate_commentary}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Internal transfers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{internal_transfer_count}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{internal_transfer_gross_amount}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{internal_transfer_pct_opening_fum}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{internal_transfer_commentary}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Net flows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{net_flow_transaction_count}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{net_flow_amount}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{net_flow_pct_opening_fum}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{net_flow_commentary}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12. Reconciliation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Every movement report should reconcile to approved closing portfolio valuations, client statements, accounting records, bank/custodian confirmations and the regulatory reporting pack where applicable.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Reconciliation Item</w:t>
            </w:r>
          </w:p>
        </w:tc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Expected Control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Variance</w:t>
            </w:r>
          </w:p>
        </w:tc>
        <w:tc>
          <w:tcPr>
            <w:tcW w:type="dxa" w:w="244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Reviewer Note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Opening FUM agrees to prior approved closing FUM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Prior period locked report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{opening_recon_status}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{opening_recon_variance}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{opening_reviewer_note}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Inflows agree to cashbook / bank / client transaction records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Cashbook and client account reconciliation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{inflow_recon_status}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{inflow_recon_variance}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{inflow_reviewer_note}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Outflows agree to payments / redemptions / mandate termination records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Cashbook and approvals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{outflow_recon_status}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{outflow_recon_variance}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{outflow_reviewer_note}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Market gains/losses agree to valuation engine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Approved portfolio valuation snapshot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{market_recon_status}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{market_recon_variance}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{market_reviewer_note}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FX movements agree to approved FX rates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Approved FX rate table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{fx_recon_status}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{fx_recon_variance}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{fx_reviewer_note}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Closing FUM agrees to client statement population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Published/approved client statements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{closing_recon_status}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{closing_recon_variance}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{closing_reviewer_note}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AUM/FUM schedule agrees to SECZIM support pack, where applicable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Regulatory pack evidence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{seczim_recon_status}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{seczim_recon_variance}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{seczim_reviewer_note}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13. Regulatory and Management Support Notes</w:t>
      </w:r>
    </w:p>
    <w:p>
      <w:pPr>
        <w:spacing w:after="80"/>
      </w:pPr>
      <w:r>
        <w:rPr>
          <w:rFonts w:ascii="Aptos" w:hAnsi="Aptos"/>
          <w:b w:val="0"/>
          <w:i w:val="0"/>
          <w:sz w:val="18"/>
        </w:rPr>
        <w:t xml:space="preserve">Where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{asset_manager_name}</w:t>
      </w:r>
      <w:r>
        <w:rPr>
          <w:rFonts w:ascii="Aptos" w:hAnsi="Aptos"/>
          <w:b w:val="0"/>
          <w:i w:val="0"/>
          <w:sz w:val="18"/>
        </w:rPr>
        <w:t xml:space="preserve"> is licensed or otherwise required to prepare regulatory support schedules, this report supports the movement of client assets, FUM/AUM, management accounts, prudential schedules and other evidence packs. The report should be reviewed together with the applicable SECZIM, CIS, pension mandate or internal governance pack, as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Support Area</w:t>
            </w:r>
          </w:p>
        </w:tc>
        <w:tc>
          <w:tcPr>
            <w:tcW w:type="dxa" w:w="129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Applicable?</w:t>
            </w:r>
          </w:p>
        </w:tc>
        <w:tc>
          <w:tcPr>
            <w:tcW w:type="dxa" w:w="37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Evidence</w:t>
            </w:r>
          </w:p>
        </w:tc>
        <w:tc>
          <w:tcPr>
            <w:tcW w:type="dxa" w:w="230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Prepared / Attached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SECZIM quarterly prudential support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{seczim_applicable_yes_no}</w:t>
            </w:r>
          </w:p>
        </w:tc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FUM/AUM movement schedule and closing client assets support</w:t>
            </w:r>
          </w:p>
        </w:tc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{seczim_evidence_attached}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CIS / unit trust monthly reporting support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{cis_applicable_yes_no}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Subscriptions, redemptions, NAV, units and custodian/trustee reconciliation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{cis_evidence_attached}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Pension mandate reporting support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{pension_applicable_yes_no}</w:t>
            </w:r>
          </w:p>
        </w:tc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Mandate performance, asset allocation and trustee pack support</w:t>
            </w:r>
          </w:p>
        </w:tc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{pension_evidence_attached}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Management accounts support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{management_accounts_applicable_yes_no}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Revenue, fees, client assets and balance sheet support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>{management_accounts_evidence_attached}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14. Exceptions, Adjustments and Overrides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Exception / Adjustment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Portfolio / Client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Amount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Root Cause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Resolution Required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Owner</w:t>
            </w:r>
          </w:p>
        </w:tc>
        <w:tc>
          <w:tcPr>
            <w:tcW w:type="dxa" w:w="100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Due Date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Approval Status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{exception_1}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{exception_portfolio_1}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{exception_amount_1}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{exception_root_cause_1}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{exception_resolution_1}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{exception_owner_1}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{exception_due_date_1}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{exception_approval_status_1}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{exception_2}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{exception_portfolio_2}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{exception_amount_2}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{exception_root_cause_2}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{exception_resolution_2}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{exception_owner_2}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{exception_due_date_2}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{exception_approval_status_2}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{exception_3}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{exception_portfolio_3}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{exception_amount_3}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{exception_root_cause_3}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{exception_resolution_3}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{exception_owner_3}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{exception_due_date_3}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>{exception_approval_status_3}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15. Supporting Documents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List all evidence files attached to the reporting run. Every material movement should be traceable to approved source documents and system records.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244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Document / Evidence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File Reference</w:t>
            </w:r>
          </w:p>
        </w:tc>
        <w:tc>
          <w:tcPr>
            <w:tcW w:type="dxa" w:w="129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Owner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129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Reviewed By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Date Reviewed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Approved portfolio valuation snapshot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{valuation_source}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{valuation_file_reference}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{valuation_owner}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{valuation_status}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{valuation_reviewed_by}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{valuation_review_date}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Client inflow / subscription records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{inflow_source}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{inflow_file_reference}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{inflow_owner}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{inflow_status}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{inflow_reviewed_by}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{inflow_review_date}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Client redemption / withdrawal records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{outflow_source}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{outflow_file_reference}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{outflow_owner}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{outflow_status}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{outflow_reviewed_by}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{outflow_review_date}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Bank / custodian confirmations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{bank_custodian_source}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{bank_custodian_file_reference}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{bank_custodian_owner}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{bank_custodian_status}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{bank_custodian_reviewed_by}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{bank_custodian_review_date}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Approved FX rate table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{fx_source}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{fx_file_reference}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{fx_owner}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{fx_status}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{fx_reviewed_by}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{fx_review_date}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Reconciliation exception report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{reconciliation_source}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{reconciliation_file_reference}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{reconciliation_owner}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{reconciliation_status}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{reconciliation_reviewed_by}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{reconciliation_review_date}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16. Management Commentary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Use clear business language to explain material movement drivers. Commentary should be factual, balanced and traceable to data in this report.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Overall movement explanation: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{overall_movement_explanation_commentary}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Material inflow drivers: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{material_inflow_drivers_commentary}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Material outflow drivers: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{material_outflow_drivers_commentary}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Market movement explanation: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{market_movement_explanation_commentary}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FX translation explanation: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{fx_translation_explanation_commentary}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Client / mandate mix changes: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{client_mandate_mix_changes_commentary}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Risks or concerns for management attention: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>{risks_or_concerns_for_management_attention_commentary}</w:t>
      </w:r>
    </w:p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17. Maker-Checker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tcW w:type="dxa" w:w="19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19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Designation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tcW w:type="dxa" w:w="273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Signature / Digital Approval</w:t>
            </w:r>
          </w:p>
        </w:tc>
      </w:tr>
      <w:tr>
        <w:tc>
          <w:tcPr>
            <w:tcW w:type="dxa" w:w="216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Prepared By - Maker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{maker_name}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{maker_designation}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{maker_preparation_date}</w:t>
            </w:r>
          </w:p>
        </w:tc>
        <w:tc>
          <w:tcPr>
            <w:tcW w:type="dxa" w:w="27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{maker_signature_or_digital_approval}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Reviewed By - Operations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{operations_reviewer_name}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{operations_reviewer_designation}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{operations_review_date}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{operations_signature_or_digital_approval}</w:t>
            </w:r>
          </w:p>
        </w:tc>
      </w:tr>
      <w:tr>
        <w:tc>
          <w:tcPr>
            <w:tcW w:type="dxa" w:w="216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Reviewed By - Compliance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{compliance_reviewer_name}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{compliance_reviewer_designation}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{compliance_review_date}</w:t>
            </w:r>
          </w:p>
        </w:tc>
        <w:tc>
          <w:tcPr>
            <w:tcW w:type="dxa" w:w="27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{compliance_signature_or_digital_approval}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Approved By - Checker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{checker_name}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{checker_designation}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{checker_approval_date}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{checker_signature_or_digital_approval}</w:t>
            </w:r>
          </w:p>
        </w:tc>
      </w:tr>
      <w:tr>
        <w:tc>
          <w:tcPr>
            <w:tcW w:type="dxa" w:w="216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Authorised Release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{authorised_officer_name}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{authorised_officer_designation}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{release_date}</w:t>
            </w:r>
          </w:p>
        </w:tc>
        <w:tc>
          <w:tcPr>
            <w:tcW w:type="dxa" w:w="27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>{authorised_officer_signature_or_digital_approval}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18. Audit and System Control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Control Field</w:t>
            </w:r>
          </w:p>
        </w:tc>
        <w:tc>
          <w:tcPr>
            <w:tcW w:type="dxa" w:w="691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Reporting Run ID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{reporting_run_id}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Generated Report ID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{generated_report_id}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Source Data Snapshot ID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{source_data_snapshot_id}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Valuation Snapshot ID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{valuation_snapshot_id}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Report Version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{version_number}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Generated By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{generated_by_user}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Generated Date and Time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{generated_datetime}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Approved By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{approved_by_user}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Approval Date and Time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{approval_datetime}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Published To Portal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{published_to_portal_yes_no}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Portal Publication Date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{portal_publication_date}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Document Hash / Checksum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{document_hash}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Archive Status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{archive_status}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Reissue Reference, if any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>{reissue_reference}</w:t>
            </w:r>
          </w:p>
        </w:tc>
      </w:tr>
    </w:tbl>
    <w:p>
      <w:pPr>
        <w:spacing w:after="80"/>
        <w:jc w:val="center"/>
      </w:pPr>
      <w:r>
        <w:rPr>
          <w:rFonts w:ascii="Aptos" w:hAnsi="Aptos"/>
          <w:b/>
          <w:i w:val="0"/>
          <w:color w:val="071A2F"/>
          <w:sz w:val="19"/>
        </w:rPr>
        <w:t>End of Report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  <w:highlight w:val="yellow"/>
      </w:rPr>
      <w:t>Confidential | {asset_manager_name} | {reporting_period} | System-generated from Arcus approved source data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  <w:highlight w:val="yellow"/>
      </w:rPr>
      <w:t>Confidential | {asset_manager_name} | {reporting_period} | System-generated from Arcus approved source data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  <w:highlight w:val="yellow"/>
      </w:rPr>
      <w:t>Confidential | {asset_manager_name} | {reporting_period} | System-generated from Arcus approved source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4608"/>
    </w:tblGrid>
    <w:tr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r>
            <w:rPr>
              <w:rFonts w:ascii="Aptos" w:hAnsi="Aptos"/>
              <w:b/>
              <w:color w:val="071A2F"/>
              <w:sz w:val="16"/>
            </w:rPr>
            <w:t>■  ARCUS REPORTING TEMPLATE</w:t>
          </w:r>
        </w:p>
      </w:tc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4B5563"/>
              <w:sz w:val="16"/>
            </w:rPr>
            <w:t>AUM / FUM Movement Report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4608"/>
    </w:tblGrid>
    <w:tr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r>
            <w:rPr>
              <w:rFonts w:ascii="Aptos" w:hAnsi="Aptos"/>
              <w:b/>
              <w:color w:val="071A2F"/>
              <w:sz w:val="16"/>
            </w:rPr>
            <w:t>■  ARCUS REPORTING TEMPLATE</w:t>
          </w:r>
        </w:p>
      </w:tc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4B5563"/>
              <w:sz w:val="16"/>
            </w:rPr>
            <w:t>AUM / FUM Movement Report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4608"/>
    </w:tblGrid>
    <w:tr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r>
            <w:rPr>
              <w:rFonts w:ascii="Aptos" w:hAnsi="Aptos"/>
              <w:b/>
              <w:color w:val="071A2F"/>
              <w:sz w:val="16"/>
            </w:rPr>
            <w:t>■  ARCUS REPORTING TEMPLATE</w:t>
          </w:r>
        </w:p>
      </w:tc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4B5563"/>
              <w:sz w:val="16"/>
            </w:rPr>
            <w:t>AUM / FUM Movement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