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b/>
          <w:color w:val="FFFFFF"/>
          <w:sz w:val="36"/>
        </w:rPr>
        <w:t>AR</w:t>
      </w:r>
    </w:p>
    <w:p>
      <w:pPr>
        <w:spacing w:line="240" w:lineRule="auto"/>
        <w:jc w:val="right"/>
      </w:pPr>
      <w:r>
        <w:rPr>
          <w:b/>
          <w:i w:val="0"/>
          <w:color w:val="000000"/>
          <w:sz w:val="20"/>
          <w:highlight w:val="yellow"/>
        </w:rPr>
        <w:t>{licensed_entity_letterhead_name}</w:t>
      </w:r>
    </w:p>
    <w:p>
      <w:pPr>
        <w:spacing w:after="120" w:line="240" w:lineRule="auto"/>
        <w:jc w:val="right"/>
      </w:pPr>
      <w:r>
        <w:rPr>
          <w:b/>
          <w:i w:val="0"/>
          <w:color w:val="000000"/>
          <w:sz w:val="15"/>
          <w:highlight w:val="yellow"/>
        </w:rPr>
        <w:t>{registered_office_address}</w:t>
      </w:r>
      <w:r>
        <w:rPr>
          <w:b w:val="0"/>
          <w:i w:val="0"/>
          <w:color w:val="4B5563"/>
          <w:sz w:val="15"/>
        </w:rPr>
        <w:t xml:space="preserve"> | </w:t>
      </w:r>
      <w:r>
        <w:rPr>
          <w:b/>
          <w:i w:val="0"/>
          <w:color w:val="000000"/>
          <w:sz w:val="15"/>
          <w:highlight w:val="yellow"/>
        </w:rPr>
        <w:t>{telephone_number}</w:t>
      </w:r>
      <w:r>
        <w:rPr>
          <w:b w:val="0"/>
          <w:i w:val="0"/>
          <w:color w:val="4B5563"/>
          <w:sz w:val="15"/>
        </w:rPr>
        <w:t xml:space="preserve"> | </w:t>
      </w:r>
      <w:r>
        <w:rPr>
          <w:b/>
          <w:i w:val="0"/>
          <w:color w:val="000000"/>
          <w:sz w:val="15"/>
          <w:highlight w:val="yellow"/>
        </w:rPr>
        <w:t>{official_email}</w:t>
      </w:r>
      <w:r>
        <w:rPr>
          <w:b w:val="0"/>
          <w:i w:val="0"/>
          <w:color w:val="4B5563"/>
          <w:sz w:val="15"/>
        </w:rPr>
        <w:t xml:space="preserve"> | </w:t>
      </w:r>
      <w:r>
        <w:rPr>
          <w:b/>
          <w:i w:val="0"/>
          <w:color w:val="000000"/>
          <w:sz w:val="15"/>
          <w:highlight w:val="yellow"/>
        </w:rPr>
        <w:t>{website}</w:t>
      </w:r>
    </w:p>
    <w:p>
      <w:pPr>
        <w:spacing w:after="120" w:line="240" w:lineRule="auto"/>
        <w:jc w:val="right"/>
      </w:pPr>
      <w:r>
        <w:rPr>
          <w:b w:val="0"/>
          <w:i w:val="0"/>
          <w:color w:val="4B5563"/>
          <w:sz w:val="15"/>
        </w:rPr>
        <w:t xml:space="preserve">SECZIM Licence No.: </w:t>
      </w:r>
      <w:r>
        <w:rPr>
          <w:b/>
          <w:i w:val="0"/>
          <w:color w:val="000000"/>
          <w:sz w:val="15"/>
          <w:highlight w:val="yellow"/>
        </w:rPr>
        <w:t>{seczim_licence_number}</w:t>
      </w:r>
      <w:r>
        <w:rPr>
          <w:b w:val="0"/>
          <w:i w:val="0"/>
          <w:color w:val="4B5563"/>
          <w:sz w:val="15"/>
        </w:rPr>
        <w:t xml:space="preserve"> | Company Reg. No.: </w:t>
      </w:r>
      <w:r>
        <w:rPr>
          <w:b/>
          <w:i w:val="0"/>
          <w:color w:val="000000"/>
          <w:sz w:val="15"/>
          <w:highlight w:val="yellow"/>
        </w:rPr>
        <w:t>{company_registration_number}</w:t>
      </w:r>
    </w:p>
    <w:tbl>
      <w:tblPr>
        <w:tblW w:type="auto" w:w="0"/>
        <w:jc w:val="center"/>
        <w:tblLook w:firstColumn="1" w:firstRow="1" w:lastColumn="0" w:lastRow="0" w:noHBand="0" w:noVBand="1" w:val="04A0"/>
      </w:tblPr>
      <w:tblGrid>
        <w:gridCol w:w="10656"/>
      </w:tblGrid>
      <w:tr>
        <w:tc>
          <w:tcPr>
            <w:tcW w:type="dxa" w:w="10656"/>
            <w:tcBorders>
              <w:top w:sz="4" w:val="single" w:color="1E88E5"/>
              <w:left w:sz="4" w:val="single" w:color="1E88E5"/>
              <w:bottom w:sz="4" w:val="single" w:color="1E88E5"/>
              <w:right w:sz="4" w:val="single" w:color="1E88E5"/>
            </w:tcBorders>
            <w:shd w:fill="071827"/>
          </w:tcPr>
          <w:p>
            <w:pPr>
              <w:jc w:val="center"/>
            </w:pPr>
            <w:r/>
            <w:r>
              <w:rPr>
                <w:b/>
                <w:color w:val="FFFFFF"/>
                <w:sz w:val="44"/>
              </w:rPr>
              <w:t>SECZIM CAPITAL ADEQUACY PACK</w:t>
            </w:r>
          </w:p>
          <w:p>
            <w:pPr>
              <w:jc w:val="center"/>
            </w:pPr>
            <w:r>
              <w:rPr>
                <w:color w:val="CFE8FF"/>
                <w:sz w:val="18"/>
              </w:rPr>
              <w:t>Regulatory Support Schedule for Licensed Securities Investment / Asset-Fund Management Firm</w:t>
            </w:r>
          </w:p>
        </w:tc>
      </w:tr>
    </w:tbl>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Yellow highlighted text shows editable placeholders. Replace all placeholders before issue. Blue boxes are preparation instructions and should be removed from the final client/regulatory issue version unless retained for internal working papers.</w:t>
            </w:r>
          </w:p>
        </w:tc>
      </w:tr>
    </w:tbl>
    <w:p>
      <w:pPr>
        <w:spacing w:after="40" w:line="240" w:lineRule="auto"/>
      </w:pPr>
    </w:p>
    <w:tbl>
      <w:tblPr>
        <w:tblW w:type="auto" w:w="0"/>
        <w:jc w:val="center"/>
        <w:tblLayout w:type="autofit"/>
        <w:tblLook w:firstColumn="1" w:firstRow="1" w:lastColumn="0" w:lastRow="0" w:noHBand="0" w:noVBand="1" w:val="04A0"/>
      </w:tblPr>
      <w:tblGrid>
        <w:gridCol w:w="5328"/>
        <w:gridCol w:w="5328"/>
      </w:tblGrid>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Licensed Entity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{licensed_entity_name}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Regulatory Category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{regulatory_category}</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SECZIM Licence Number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{seczim_licence_number}</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Reporting Period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{reporting_period}</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Quarter End Date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{quarter_end_date}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Base Currency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{base_currency}</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Presentation Currency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{presentation_currency}</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Prepared For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{recipient_or_regulatory_pack_purpose}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Prepared By</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{preparer_name_and_department}</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Document Status</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{draft_under_review_approved_submitted_archived}</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Version</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{version_number}</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 Run ID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{reporting_run_id}</w:t>
            </w:r>
          </w:p>
        </w:tc>
      </w:tr>
    </w:tbl>
    <w:p>
      <w:pPr>
        <w:spacing w:after="40" w:line="240" w:lineRule="auto"/>
      </w:pPr>
    </w:p>
    <w:p>
      <w:pPr>
        <w:spacing w:after="120" w:line="240" w:lineRule="auto"/>
      </w:pPr>
      <w:r>
        <w:rPr>
          <w:b w:val="0"/>
          <w:i w:val="0"/>
          <w:sz w:val="17"/>
        </w:rPr>
        <w:t>Document classification: Confidential regulatory support pack. This document is intended to support internal review, compliance approval and SECZIM-facing return preparation. It is not a substitute for the official regulatory form or portal submission requirements where prescribed by the regulator.</w:t>
      </w:r>
    </w:p>
    <w:p>
      <w:pPr>
        <w:spacing w:line="240" w:lineRule="auto"/>
      </w:pPr>
      <w:r>
        <w:br w:type="page"/>
      </w:r>
    </w:p>
    <w:p>
      <w:pPr>
        <w:spacing w:before="200" w:after="120" w:line="240" w:lineRule="auto"/>
        <w:pBdr>
          <w:bottom w:val="single" w:sz="8" w:space="4" w:color="1E88E5"/>
        </w:pBdr>
      </w:pPr>
      <w:r>
        <w:rPr>
          <w:b/>
          <w:color w:val="071827"/>
          <w:sz w:val="28"/>
        </w:rPr>
        <w:t>1. Executive Summary</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Insert a concise compliance conclusion. State whether the entity is compliant, borderline or in breach, and identify the capital buffer or shortfall. Avoid unsupported commentary.</w:t>
            </w:r>
          </w:p>
        </w:tc>
      </w:tr>
    </w:tbl>
    <w:p>
      <w:pPr>
        <w:spacing w:after="40" w:line="240" w:lineRule="auto"/>
      </w:pPr>
    </w:p>
    <w:p>
      <w:pPr>
        <w:spacing w:after="120" w:line="240" w:lineRule="auto"/>
      </w:pPr>
      <w:r>
        <w:rPr>
          <w:b w:val="0"/>
          <w:i w:val="0"/>
          <w:sz w:val="17"/>
        </w:rPr>
        <w:t xml:space="preserve">For the period ended </w:t>
      </w:r>
      <w:r>
        <w:rPr>
          <w:b/>
          <w:i w:val="0"/>
          <w:color w:val="000000"/>
          <w:sz w:val="17"/>
          <w:highlight w:val="yellow"/>
        </w:rPr>
        <w:t>{quarter_end_date}</w:t>
      </w:r>
      <w:r>
        <w:rPr>
          <w:b w:val="0"/>
          <w:i w:val="0"/>
          <w:sz w:val="17"/>
        </w:rPr>
        <w:t xml:space="preserve">, </w:t>
      </w:r>
      <w:r>
        <w:rPr>
          <w:b/>
          <w:i w:val="0"/>
          <w:color w:val="000000"/>
          <w:sz w:val="17"/>
          <w:highlight w:val="yellow"/>
        </w:rPr>
        <w:t>{licensed_entity_name}</w:t>
      </w:r>
      <w:r>
        <w:rPr>
          <w:b w:val="0"/>
          <w:i w:val="0"/>
          <w:sz w:val="17"/>
        </w:rPr>
        <w:t xml:space="preserve"> has prepared this Capital Adequacy Pack to evidence the calculation of Adjusted Liquid Capital, Total Capital Requirement and the Capital Adequacy Ratio for internal governance and regulatory support purposes.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Indicator</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Current Period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Prior Period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Status / Comment</w:t>
            </w:r>
          </w:p>
        </w:tc>
      </w:tr>
      <w:tr>
        <w:tc>
          <w:tcPr>
            <w:tcW w:type="dxa" w:w="2664"/>
            <w:shd w:fill="F8FBFE"/>
            <w:vAlign w:val="center"/>
          </w:tcPr>
          <w:p>
            <w:pPr>
              <w:spacing w:after="0"/>
            </w:pPr>
            <w:r/>
            <w:r>
              <w:rPr>
                <w:b w:val="0"/>
                <w:i w:val="0"/>
                <w:sz w:val="15"/>
              </w:rPr>
              <w:t>Adjusted Liquid Capital</w:t>
            </w:r>
          </w:p>
        </w:tc>
        <w:tc>
          <w:tcPr>
            <w:tcW w:type="dxa" w:w="2664"/>
            <w:shd w:fill="F8FBFE"/>
            <w:vAlign w:val="center"/>
          </w:tcPr>
          <w:p>
            <w:pPr>
              <w:spacing w:after="0"/>
            </w:pPr>
            <w:r/>
            <w:r>
              <w:rPr>
                <w:b/>
                <w:i w:val="0"/>
                <w:color w:val="000000"/>
                <w:sz w:val="15"/>
                <w:highlight w:val="yellow"/>
              </w:rPr>
              <w:t>{adjusted_liquid_capital_current}</w:t>
            </w:r>
          </w:p>
        </w:tc>
        <w:tc>
          <w:tcPr>
            <w:tcW w:type="dxa" w:w="2664"/>
            <w:shd w:fill="F8FBFE"/>
            <w:vAlign w:val="center"/>
          </w:tcPr>
          <w:p>
            <w:pPr>
              <w:spacing w:after="0"/>
            </w:pPr>
            <w:r/>
            <w:r>
              <w:rPr>
                <w:b/>
                <w:i w:val="0"/>
                <w:color w:val="000000"/>
                <w:sz w:val="15"/>
                <w:highlight w:val="yellow"/>
              </w:rPr>
              <w:t>{adjusted_liquid_capital_prior}</w:t>
            </w:r>
          </w:p>
        </w:tc>
        <w:tc>
          <w:tcPr>
            <w:tcW w:type="dxa" w:w="2664"/>
            <w:shd w:fill="F8FBFE"/>
            <w:vAlign w:val="center"/>
          </w:tcPr>
          <w:p>
            <w:pPr>
              <w:spacing w:after="0"/>
            </w:pPr>
            <w:r/>
            <w:r>
              <w:rPr>
                <w:b/>
                <w:i w:val="0"/>
                <w:color w:val="000000"/>
                <w:sz w:val="15"/>
                <w:highlight w:val="yellow"/>
              </w:rPr>
              <w:t>{alc_status_comment}</w:t>
            </w:r>
          </w:p>
        </w:tc>
      </w:tr>
      <w:tr>
        <w:tc>
          <w:tcPr>
            <w:tcW w:type="dxa" w:w="2664"/>
            <w:vAlign w:val="center"/>
          </w:tcPr>
          <w:p>
            <w:pPr>
              <w:spacing w:after="0"/>
            </w:pPr>
            <w:r/>
            <w:r>
              <w:rPr>
                <w:b w:val="0"/>
                <w:i w:val="0"/>
                <w:sz w:val="15"/>
              </w:rPr>
              <w:t>Total Capital Requirement</w:t>
            </w:r>
          </w:p>
        </w:tc>
        <w:tc>
          <w:tcPr>
            <w:tcW w:type="dxa" w:w="2664"/>
            <w:vAlign w:val="center"/>
          </w:tcPr>
          <w:p>
            <w:pPr>
              <w:spacing w:after="0"/>
            </w:pPr>
            <w:r/>
            <w:r>
              <w:rPr>
                <w:b/>
                <w:i w:val="0"/>
                <w:color w:val="000000"/>
                <w:sz w:val="15"/>
                <w:highlight w:val="yellow"/>
              </w:rPr>
              <w:t>{total_capital_requirement_current}</w:t>
            </w:r>
          </w:p>
        </w:tc>
        <w:tc>
          <w:tcPr>
            <w:tcW w:type="dxa" w:w="2664"/>
            <w:vAlign w:val="center"/>
          </w:tcPr>
          <w:p>
            <w:pPr>
              <w:spacing w:after="0"/>
            </w:pPr>
            <w:r/>
            <w:r>
              <w:rPr>
                <w:b/>
                <w:i w:val="0"/>
                <w:color w:val="000000"/>
                <w:sz w:val="15"/>
                <w:highlight w:val="yellow"/>
              </w:rPr>
              <w:t>{total_capital_requirement_prior}</w:t>
            </w:r>
          </w:p>
        </w:tc>
        <w:tc>
          <w:tcPr>
            <w:tcW w:type="dxa" w:w="2664"/>
            <w:vAlign w:val="center"/>
          </w:tcPr>
          <w:p>
            <w:pPr>
              <w:spacing w:after="0"/>
            </w:pPr>
            <w:r/>
            <w:r>
              <w:rPr>
                <w:b/>
                <w:i w:val="0"/>
                <w:color w:val="000000"/>
                <w:sz w:val="15"/>
                <w:highlight w:val="yellow"/>
              </w:rPr>
              <w:t>{tcr_status_comment}</w:t>
            </w:r>
          </w:p>
        </w:tc>
      </w:tr>
      <w:tr>
        <w:tc>
          <w:tcPr>
            <w:tcW w:type="dxa" w:w="2664"/>
            <w:shd w:fill="F8FBFE"/>
            <w:vAlign w:val="center"/>
          </w:tcPr>
          <w:p>
            <w:pPr>
              <w:spacing w:after="0"/>
            </w:pPr>
            <w:r/>
            <w:r>
              <w:rPr>
                <w:b w:val="0"/>
                <w:i w:val="0"/>
                <w:sz w:val="15"/>
              </w:rPr>
              <w:t>Capital Adequacy Ratio</w:t>
            </w:r>
          </w:p>
        </w:tc>
        <w:tc>
          <w:tcPr>
            <w:tcW w:type="dxa" w:w="2664"/>
            <w:shd w:fill="F8FBFE"/>
            <w:vAlign w:val="center"/>
          </w:tcPr>
          <w:p>
            <w:pPr>
              <w:spacing w:after="0"/>
            </w:pPr>
            <w:r/>
            <w:r>
              <w:rPr>
                <w:b/>
                <w:i w:val="0"/>
                <w:color w:val="000000"/>
                <w:sz w:val="15"/>
                <w:highlight w:val="yellow"/>
              </w:rPr>
              <w:t>{capital_adequacy_ratio_current}</w:t>
            </w:r>
            <w:r>
              <w:rPr>
                <w:b w:val="0"/>
                <w:i w:val="0"/>
                <w:sz w:val="15"/>
              </w:rPr>
              <w:t>%</w:t>
            </w:r>
          </w:p>
        </w:tc>
        <w:tc>
          <w:tcPr>
            <w:tcW w:type="dxa" w:w="2664"/>
            <w:shd w:fill="F8FBFE"/>
            <w:vAlign w:val="center"/>
          </w:tcPr>
          <w:p>
            <w:pPr>
              <w:spacing w:after="0"/>
            </w:pPr>
            <w:r/>
            <w:r>
              <w:rPr>
                <w:b/>
                <w:i w:val="0"/>
                <w:color w:val="000000"/>
                <w:sz w:val="15"/>
                <w:highlight w:val="yellow"/>
              </w:rPr>
              <w:t>{capital_adequacy_ratio_prior}</w:t>
            </w:r>
            <w:r>
              <w:rPr>
                <w:b w:val="0"/>
                <w:i w:val="0"/>
                <w:sz w:val="15"/>
              </w:rPr>
              <w:t>%</w:t>
            </w:r>
          </w:p>
        </w:tc>
        <w:tc>
          <w:tcPr>
            <w:tcW w:type="dxa" w:w="2664"/>
            <w:shd w:fill="F8FBFE"/>
            <w:vAlign w:val="center"/>
          </w:tcPr>
          <w:p>
            <w:pPr>
              <w:spacing w:after="0"/>
            </w:pPr>
            <w:r/>
            <w:r>
              <w:rPr>
                <w:b/>
                <w:i w:val="0"/>
                <w:color w:val="000000"/>
                <w:sz w:val="15"/>
                <w:highlight w:val="yellow"/>
              </w:rPr>
              <w:t>{car_status_comment}</w:t>
            </w:r>
          </w:p>
        </w:tc>
      </w:tr>
      <w:tr>
        <w:tc>
          <w:tcPr>
            <w:tcW w:type="dxa" w:w="2664"/>
            <w:vAlign w:val="center"/>
          </w:tcPr>
          <w:p>
            <w:pPr>
              <w:spacing w:after="0"/>
            </w:pPr>
            <w:r/>
            <w:r>
              <w:rPr>
                <w:b w:val="0"/>
                <w:i w:val="0"/>
                <w:sz w:val="15"/>
              </w:rPr>
              <w:t>Minimum Required Ratio / Threshold</w:t>
            </w:r>
          </w:p>
        </w:tc>
        <w:tc>
          <w:tcPr>
            <w:tcW w:type="dxa" w:w="2664"/>
            <w:vAlign w:val="center"/>
          </w:tcPr>
          <w:p>
            <w:pPr>
              <w:spacing w:after="0"/>
            </w:pPr>
            <w:r/>
            <w:r>
              <w:rPr>
                <w:b/>
                <w:i w:val="0"/>
                <w:color w:val="000000"/>
                <w:sz w:val="15"/>
                <w:highlight w:val="yellow"/>
              </w:rPr>
              <w:t>{minimum_required_ratio_or_threshold}</w:t>
            </w:r>
          </w:p>
        </w:tc>
        <w:tc>
          <w:tcPr>
            <w:tcW w:type="dxa" w:w="2664"/>
            <w:vAlign w:val="center"/>
          </w:tcPr>
          <w:p>
            <w:pPr>
              <w:spacing w:after="0"/>
            </w:pPr>
            <w:r/>
            <w:r>
              <w:rPr>
                <w:b/>
                <w:i w:val="0"/>
                <w:color w:val="000000"/>
                <w:sz w:val="15"/>
                <w:highlight w:val="yellow"/>
              </w:rPr>
              <w:t>{prior_minimum_threshold}</w:t>
            </w:r>
          </w:p>
        </w:tc>
        <w:tc>
          <w:tcPr>
            <w:tcW w:type="dxa" w:w="2664"/>
            <w:vAlign w:val="center"/>
          </w:tcPr>
          <w:p>
            <w:pPr>
              <w:spacing w:after="0"/>
            </w:pPr>
            <w:r/>
            <w:r>
              <w:rPr>
                <w:b/>
                <w:i w:val="0"/>
                <w:color w:val="000000"/>
                <w:sz w:val="15"/>
                <w:highlight w:val="yellow"/>
              </w:rPr>
              <w:t>{threshold_basis_comment}</w:t>
            </w:r>
          </w:p>
        </w:tc>
      </w:tr>
      <w:tr>
        <w:tc>
          <w:tcPr>
            <w:tcW w:type="dxa" w:w="2664"/>
            <w:shd w:fill="F8FBFE"/>
            <w:vAlign w:val="center"/>
          </w:tcPr>
          <w:p>
            <w:pPr>
              <w:spacing w:after="0"/>
            </w:pPr>
            <w:r/>
            <w:r>
              <w:rPr>
                <w:b w:val="0"/>
                <w:i w:val="0"/>
                <w:sz w:val="15"/>
              </w:rPr>
              <w:t>Surplus / (Shortfall)</w:t>
            </w:r>
          </w:p>
        </w:tc>
        <w:tc>
          <w:tcPr>
            <w:tcW w:type="dxa" w:w="2664"/>
            <w:shd w:fill="F8FBFE"/>
            <w:vAlign w:val="center"/>
          </w:tcPr>
          <w:p>
            <w:pPr>
              <w:spacing w:after="0"/>
            </w:pPr>
            <w:r/>
            <w:r>
              <w:rPr>
                <w:b/>
                <w:i w:val="0"/>
                <w:color w:val="000000"/>
                <w:sz w:val="15"/>
                <w:highlight w:val="yellow"/>
              </w:rPr>
              <w:t>{capital_surplus_or_shortfall}</w:t>
            </w:r>
          </w:p>
        </w:tc>
        <w:tc>
          <w:tcPr>
            <w:tcW w:type="dxa" w:w="2664"/>
            <w:shd w:fill="F8FBFE"/>
            <w:vAlign w:val="center"/>
          </w:tcPr>
          <w:p>
            <w:pPr>
              <w:spacing w:after="0"/>
            </w:pPr>
            <w:r/>
            <w:r>
              <w:rPr>
                <w:b/>
                <w:i w:val="0"/>
                <w:color w:val="000000"/>
                <w:sz w:val="15"/>
                <w:highlight w:val="yellow"/>
              </w:rPr>
              <w:t>{prior_surplus_or_shortfall}</w:t>
            </w:r>
          </w:p>
        </w:tc>
        <w:tc>
          <w:tcPr>
            <w:tcW w:type="dxa" w:w="2664"/>
            <w:shd w:fill="F8FBFE"/>
            <w:vAlign w:val="center"/>
          </w:tcPr>
          <w:p>
            <w:pPr>
              <w:spacing w:after="0"/>
            </w:pPr>
            <w:r/>
            <w:r>
              <w:rPr>
                <w:b/>
                <w:i w:val="0"/>
                <w:color w:val="000000"/>
                <w:sz w:val="15"/>
                <w:highlight w:val="yellow"/>
              </w:rPr>
              <w:t>{surplus_shortfall_comment}</w:t>
            </w:r>
          </w:p>
        </w:tc>
      </w:tr>
      <w:tr>
        <w:tc>
          <w:tcPr>
            <w:tcW w:type="dxa" w:w="2664"/>
            <w:vAlign w:val="center"/>
          </w:tcPr>
          <w:p>
            <w:pPr>
              <w:spacing w:after="0"/>
            </w:pPr>
            <w:r/>
            <w:r>
              <w:rPr>
                <w:b w:val="0"/>
                <w:i w:val="0"/>
                <w:sz w:val="15"/>
              </w:rPr>
              <w:t>Management Conclusion</w:t>
            </w:r>
          </w:p>
        </w:tc>
        <w:tc>
          <w:tcPr>
            <w:tcW w:type="dxa" w:w="2664"/>
            <w:vAlign w:val="center"/>
          </w:tcPr>
          <w:p>
            <w:pPr>
              <w:spacing w:after="0"/>
            </w:pPr>
            <w:r/>
            <w:r>
              <w:rPr>
                <w:b/>
                <w:i w:val="0"/>
                <w:color w:val="000000"/>
                <w:sz w:val="15"/>
                <w:highlight w:val="yellow"/>
              </w:rPr>
              <w:t>{compliant_borderline_breach}</w:t>
            </w:r>
          </w:p>
        </w:tc>
        <w:tc>
          <w:tcPr>
            <w:tcW w:type="dxa" w:w="2664"/>
            <w:vAlign w:val="center"/>
          </w:tcPr>
          <w:p>
            <w:pPr>
              <w:spacing w:after="0"/>
            </w:pPr>
            <w:r/>
            <w:r>
              <w:rPr>
                <w:b/>
                <w:i w:val="0"/>
                <w:color w:val="000000"/>
                <w:sz w:val="15"/>
                <w:highlight w:val="yellow"/>
              </w:rPr>
              <w:t>{prior_conclusion}</w:t>
            </w:r>
          </w:p>
        </w:tc>
        <w:tc>
          <w:tcPr>
            <w:tcW w:type="dxa" w:w="2664"/>
            <w:vAlign w:val="center"/>
          </w:tcPr>
          <w:p>
            <w:pPr>
              <w:spacing w:after="0"/>
            </w:pPr>
            <w:r/>
            <w:r>
              <w:rPr>
                <w:b/>
                <w:i w:val="0"/>
                <w:color w:val="000000"/>
                <w:sz w:val="15"/>
                <w:highlight w:val="yellow"/>
              </w:rPr>
              <w:t>{management_conclusion_comment}</w:t>
            </w:r>
          </w:p>
        </w:tc>
      </w:tr>
    </w:tbl>
    <w:p>
      <w:pPr>
        <w:spacing w:after="80" w:line="240" w:lineRule="auto"/>
      </w:pPr>
    </w:p>
    <w:p>
      <w:pPr>
        <w:spacing w:before="200" w:after="120" w:line="240" w:lineRule="auto"/>
        <w:pBdr>
          <w:bottom w:val="single" w:sz="8" w:space="4" w:color="1E88E5"/>
        </w:pBdr>
      </w:pPr>
      <w:r>
        <w:rPr>
          <w:b/>
          <w:color w:val="071827"/>
          <w:sz w:val="28"/>
        </w:rPr>
        <w:t>2. Regulatory Basis and Applicability</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Confirm the applicable licence class, capital adequacy directive, reporting period, filing deadline and any regulator-specific computation basis before finalising. Where the official SECZIM template differs from this support pack, the official template must prevail.</w:t>
            </w:r>
          </w:p>
        </w:tc>
      </w:tr>
    </w:tbl>
    <w:p>
      <w:pPr>
        <w:spacing w:after="40" w:line="240" w:lineRule="auto"/>
      </w:pPr>
    </w:p>
    <w:tbl>
      <w:tblPr>
        <w:tblW w:type="auto" w:w="0"/>
        <w:jc w:val="center"/>
        <w:tblLayout w:type="autofit"/>
        <w:tblLook w:firstColumn="1" w:firstRow="1" w:lastColumn="0" w:lastRow="0" w:noHBand="0" w:noVBand="1" w:val="04A0"/>
      </w:tblPr>
      <w:tblGrid>
        <w:gridCol w:w="5328"/>
        <w:gridCol w:w="5328"/>
      </w:tblGrid>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Applicable Legal / Regulatory Framework</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{applicable_seczim_framework_or_directive}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Regulatory Return Supported</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{prudential_return_or_capital_adequacy_return_name}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Reporting Deadline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{reporting_deadline}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Computation Date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{computation_date}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Accounting Records Cut-Off</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{accounting_cut_off_date}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Portfolio Valuation Cut-Off</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{portfolio_valuation_cut_off_date}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FX Rate Approval Reference</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{fx_rate_approval_reference}</w:t>
            </w:r>
          </w:p>
        </w:tc>
      </w:tr>
      <w:tr>
        <w:tc>
          <w:tcPr>
            <w:tcW w:type="dxa" w:w="5328"/>
            <w:tcBorders>
              <w:top w:sz="4" w:val="single" w:color="AFC7DD"/>
              <w:left w:sz="4" w:val="single" w:color="AFC7DD"/>
              <w:bottom w:sz="4" w:val="single" w:color="AFC7DD"/>
              <w:right w:sz="4" w:val="single" w:color="AFC7DD"/>
            </w:tcBorders>
            <w:shd w:fill="F4F7FA"/>
            <w:vAlign w:val="center"/>
          </w:tcPr>
          <w:p>
            <w:pPr>
              <w:spacing w:after="0"/>
            </w:pPr>
            <w:r/>
            <w:r>
              <w:rPr>
                <w:b/>
                <w:i w:val="0"/>
                <w:sz w:val="17"/>
              </w:rPr>
              <w:t>Responsible Compliance Officer</w:t>
            </w:r>
          </w:p>
        </w:tc>
        <w:tc>
          <w:tcPr>
            <w:tcW w:type="dxa" w:w="5328"/>
            <w:tcBorders>
              <w:top w:sz="4" w:val="single" w:color="AFC7DD"/>
              <w:left w:sz="4" w:val="single" w:color="AFC7DD"/>
              <w:bottom w:sz="4" w:val="single" w:color="AFC7DD"/>
              <w:right w:sz="4" w:val="single" w:color="AFC7DD"/>
            </w:tcBorders>
            <w:vAlign w:val="center"/>
          </w:tcPr>
          <w:p>
            <w:pPr>
              <w:spacing w:after="0"/>
            </w:pPr>
            <w:r/>
            <w:r>
              <w:rPr>
                <w:b/>
                <w:i w:val="0"/>
                <w:color w:val="000000"/>
                <w:sz w:val="17"/>
                <w:highlight w:val="yellow"/>
              </w:rPr>
              <w:t>{compliance_officer_name}</w:t>
            </w:r>
          </w:p>
        </w:tc>
      </w:tr>
    </w:tbl>
    <w:p>
      <w:pPr>
        <w:spacing w:after="40" w:line="240" w:lineRule="auto"/>
      </w:pPr>
    </w:p>
    <w:p>
      <w:pPr>
        <w:spacing w:after="120" w:line="240" w:lineRule="auto"/>
      </w:pPr>
      <w:r>
        <w:rPr>
          <w:b w:val="0"/>
          <w:i w:val="0"/>
          <w:sz w:val="17"/>
        </w:rPr>
        <w:t>This pack should be read together with the entity’s approved management accounts, trial balance, portfolio valuation reports, FUM/AUM movement report, receivables and payables schedules, liquidity schedule and supporting regulatory evidence file.</w:t>
      </w:r>
    </w:p>
    <w:p>
      <w:pPr>
        <w:spacing w:before="200" w:after="120" w:line="240" w:lineRule="auto"/>
        <w:pBdr>
          <w:bottom w:val="single" w:sz="8" w:space="4" w:color="1E88E5"/>
        </w:pBdr>
      </w:pPr>
      <w:r>
        <w:rPr>
          <w:b/>
          <w:color w:val="071827"/>
          <w:sz w:val="28"/>
        </w:rPr>
        <w:t>3. Capital Adequacy Calculation Dashboard</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Calculation Line</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Formula /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Reference</w:t>
            </w:r>
          </w:p>
        </w:tc>
      </w:tr>
      <w:tr>
        <w:tc>
          <w:tcPr>
            <w:tcW w:type="dxa" w:w="2664"/>
            <w:shd w:fill="F8FBFE"/>
            <w:vAlign w:val="center"/>
          </w:tcPr>
          <w:p>
            <w:pPr>
              <w:spacing w:after="0"/>
            </w:pPr>
            <w:r/>
            <w:r>
              <w:rPr>
                <w:b w:val="0"/>
                <w:i w:val="0"/>
                <w:sz w:val="15"/>
              </w:rPr>
              <w:t>A. Adjusted Liquid Capital</w:t>
            </w:r>
          </w:p>
        </w:tc>
        <w:tc>
          <w:tcPr>
            <w:tcW w:type="dxa" w:w="2664"/>
            <w:shd w:fill="F8FBFE"/>
            <w:vAlign w:val="center"/>
          </w:tcPr>
          <w:p>
            <w:pPr>
              <w:spacing w:after="0"/>
            </w:pPr>
            <w:r/>
            <w:r>
              <w:rPr>
                <w:b w:val="0"/>
                <w:i w:val="0"/>
                <w:sz w:val="15"/>
              </w:rPr>
              <w:t>Sum of eligible liquid capital less prescribed deductions</w:t>
            </w:r>
          </w:p>
        </w:tc>
        <w:tc>
          <w:tcPr>
            <w:tcW w:type="dxa" w:w="2664"/>
            <w:shd w:fill="F8FBFE"/>
            <w:vAlign w:val="center"/>
          </w:tcPr>
          <w:p>
            <w:pPr>
              <w:spacing w:after="0"/>
            </w:pPr>
            <w:r/>
            <w:r>
              <w:rPr>
                <w:b/>
                <w:i w:val="0"/>
                <w:color w:val="000000"/>
                <w:sz w:val="15"/>
                <w:highlight w:val="yellow"/>
              </w:rPr>
              <w:t>{adjusted_liquid_capital}</w:t>
            </w:r>
          </w:p>
        </w:tc>
        <w:tc>
          <w:tcPr>
            <w:tcW w:type="dxa" w:w="2664"/>
            <w:shd w:fill="F8FBFE"/>
            <w:vAlign w:val="center"/>
          </w:tcPr>
          <w:p>
            <w:pPr>
              <w:spacing w:after="0"/>
            </w:pPr>
            <w:r/>
            <w:r>
              <w:rPr>
                <w:b/>
                <w:i w:val="0"/>
                <w:color w:val="000000"/>
                <w:sz w:val="15"/>
                <w:highlight w:val="yellow"/>
              </w:rPr>
              <w:t>{alc_schedule_reference}</w:t>
            </w:r>
          </w:p>
        </w:tc>
      </w:tr>
      <w:tr>
        <w:tc>
          <w:tcPr>
            <w:tcW w:type="dxa" w:w="2664"/>
            <w:vAlign w:val="center"/>
          </w:tcPr>
          <w:p>
            <w:pPr>
              <w:spacing w:after="0"/>
            </w:pPr>
            <w:r/>
            <w:r>
              <w:rPr>
                <w:b w:val="0"/>
                <w:i w:val="0"/>
                <w:sz w:val="15"/>
              </w:rPr>
              <w:t>B. Total Capital Requirement</w:t>
            </w:r>
          </w:p>
        </w:tc>
        <w:tc>
          <w:tcPr>
            <w:tcW w:type="dxa" w:w="2664"/>
            <w:vAlign w:val="center"/>
          </w:tcPr>
          <w:p>
            <w:pPr>
              <w:spacing w:after="0"/>
            </w:pPr>
            <w:r/>
            <w:r>
              <w:rPr>
                <w:b w:val="0"/>
                <w:i w:val="0"/>
                <w:sz w:val="15"/>
              </w:rPr>
              <w:t>Applicable base requirement plus risk/expense/add-on components</w:t>
            </w:r>
          </w:p>
        </w:tc>
        <w:tc>
          <w:tcPr>
            <w:tcW w:type="dxa" w:w="2664"/>
            <w:vAlign w:val="center"/>
          </w:tcPr>
          <w:p>
            <w:pPr>
              <w:spacing w:after="0"/>
            </w:pPr>
            <w:r/>
            <w:r>
              <w:rPr>
                <w:b/>
                <w:i w:val="0"/>
                <w:color w:val="000000"/>
                <w:sz w:val="15"/>
                <w:highlight w:val="yellow"/>
              </w:rPr>
              <w:t>{total_capital_requirement}</w:t>
            </w:r>
          </w:p>
        </w:tc>
        <w:tc>
          <w:tcPr>
            <w:tcW w:type="dxa" w:w="2664"/>
            <w:vAlign w:val="center"/>
          </w:tcPr>
          <w:p>
            <w:pPr>
              <w:spacing w:after="0"/>
            </w:pPr>
            <w:r/>
            <w:r>
              <w:rPr>
                <w:b/>
                <w:i w:val="0"/>
                <w:color w:val="000000"/>
                <w:sz w:val="15"/>
                <w:highlight w:val="yellow"/>
              </w:rPr>
              <w:t>{tcr_schedule_reference}</w:t>
            </w:r>
          </w:p>
        </w:tc>
      </w:tr>
      <w:tr>
        <w:tc>
          <w:tcPr>
            <w:tcW w:type="dxa" w:w="2664"/>
            <w:shd w:fill="F8FBFE"/>
            <w:vAlign w:val="center"/>
          </w:tcPr>
          <w:p>
            <w:pPr>
              <w:spacing w:after="0"/>
            </w:pPr>
            <w:r/>
            <w:r>
              <w:rPr>
                <w:b w:val="0"/>
                <w:i w:val="0"/>
                <w:sz w:val="15"/>
              </w:rPr>
              <w:t>C. Capital Adequacy Ratio</w:t>
            </w:r>
          </w:p>
        </w:tc>
        <w:tc>
          <w:tcPr>
            <w:tcW w:type="dxa" w:w="2664"/>
            <w:shd w:fill="F8FBFE"/>
            <w:vAlign w:val="center"/>
          </w:tcPr>
          <w:p>
            <w:pPr>
              <w:spacing w:after="0"/>
            </w:pPr>
            <w:r/>
            <w:r>
              <w:rPr>
                <w:b w:val="0"/>
                <w:i w:val="0"/>
                <w:sz w:val="15"/>
              </w:rPr>
              <w:t>A divided by B, expressed as a percentage</w:t>
            </w:r>
          </w:p>
        </w:tc>
        <w:tc>
          <w:tcPr>
            <w:tcW w:type="dxa" w:w="2664"/>
            <w:shd w:fill="F8FBFE"/>
            <w:vAlign w:val="center"/>
          </w:tcPr>
          <w:p>
            <w:pPr>
              <w:spacing w:after="0"/>
            </w:pPr>
            <w:r/>
            <w:r>
              <w:rPr>
                <w:b/>
                <w:i w:val="0"/>
                <w:color w:val="000000"/>
                <w:sz w:val="15"/>
                <w:highlight w:val="yellow"/>
              </w:rPr>
              <w:t>{capital_adequacy_ratio}</w:t>
            </w:r>
            <w:r>
              <w:rPr>
                <w:b w:val="0"/>
                <w:i w:val="0"/>
                <w:sz w:val="15"/>
              </w:rPr>
              <w:t>%</w:t>
            </w:r>
          </w:p>
        </w:tc>
        <w:tc>
          <w:tcPr>
            <w:tcW w:type="dxa" w:w="2664"/>
            <w:shd w:fill="F8FBFE"/>
            <w:vAlign w:val="center"/>
          </w:tcPr>
          <w:p>
            <w:pPr>
              <w:spacing w:after="0"/>
            </w:pPr>
            <w:r/>
            <w:r>
              <w:rPr>
                <w:b/>
                <w:i w:val="0"/>
                <w:color w:val="000000"/>
                <w:sz w:val="15"/>
                <w:highlight w:val="yellow"/>
              </w:rPr>
              <w:t>{car_calculation_reference}</w:t>
            </w:r>
          </w:p>
        </w:tc>
      </w:tr>
      <w:tr>
        <w:tc>
          <w:tcPr>
            <w:tcW w:type="dxa" w:w="2664"/>
            <w:vAlign w:val="center"/>
          </w:tcPr>
          <w:p>
            <w:pPr>
              <w:spacing w:after="0"/>
            </w:pPr>
            <w:r/>
            <w:r>
              <w:rPr>
                <w:b w:val="0"/>
                <w:i w:val="0"/>
                <w:sz w:val="15"/>
              </w:rPr>
              <w:t>D. Minimum Required Threshold</w:t>
            </w:r>
          </w:p>
        </w:tc>
        <w:tc>
          <w:tcPr>
            <w:tcW w:type="dxa" w:w="2664"/>
            <w:vAlign w:val="center"/>
          </w:tcPr>
          <w:p>
            <w:pPr>
              <w:spacing w:after="0"/>
            </w:pPr>
            <w:r/>
            <w:r>
              <w:rPr>
                <w:b w:val="0"/>
                <w:i w:val="0"/>
                <w:sz w:val="15"/>
              </w:rPr>
              <w:t>Threshold applicable to licence category</w:t>
            </w:r>
          </w:p>
        </w:tc>
        <w:tc>
          <w:tcPr>
            <w:tcW w:type="dxa" w:w="2664"/>
            <w:vAlign w:val="center"/>
          </w:tcPr>
          <w:p>
            <w:pPr>
              <w:spacing w:after="0"/>
            </w:pPr>
            <w:r/>
            <w:r>
              <w:rPr>
                <w:b/>
                <w:i w:val="0"/>
                <w:color w:val="000000"/>
                <w:sz w:val="15"/>
                <w:highlight w:val="yellow"/>
              </w:rPr>
              <w:t>{minimum_required_threshold}</w:t>
            </w:r>
          </w:p>
        </w:tc>
        <w:tc>
          <w:tcPr>
            <w:tcW w:type="dxa" w:w="2664"/>
            <w:vAlign w:val="center"/>
          </w:tcPr>
          <w:p>
            <w:pPr>
              <w:spacing w:after="0"/>
            </w:pPr>
            <w:r/>
            <w:r>
              <w:rPr>
                <w:b/>
                <w:i w:val="0"/>
                <w:color w:val="000000"/>
                <w:sz w:val="15"/>
                <w:highlight w:val="yellow"/>
              </w:rPr>
              <w:t>{threshold_reference}</w:t>
            </w:r>
          </w:p>
        </w:tc>
      </w:tr>
      <w:tr>
        <w:tc>
          <w:tcPr>
            <w:tcW w:type="dxa" w:w="2664"/>
            <w:shd w:fill="F8FBFE"/>
            <w:vAlign w:val="center"/>
          </w:tcPr>
          <w:p>
            <w:pPr>
              <w:spacing w:after="0"/>
            </w:pPr>
            <w:r/>
            <w:r>
              <w:rPr>
                <w:b w:val="0"/>
                <w:i w:val="0"/>
                <w:sz w:val="15"/>
              </w:rPr>
              <w:t>E. Capital Buffer / (Shortfall)</w:t>
            </w:r>
          </w:p>
        </w:tc>
        <w:tc>
          <w:tcPr>
            <w:tcW w:type="dxa" w:w="2664"/>
            <w:shd w:fill="F8FBFE"/>
            <w:vAlign w:val="center"/>
          </w:tcPr>
          <w:p>
            <w:pPr>
              <w:spacing w:after="0"/>
            </w:pPr>
            <w:r/>
            <w:r>
              <w:rPr>
                <w:b w:val="0"/>
                <w:i w:val="0"/>
                <w:sz w:val="15"/>
              </w:rPr>
              <w:t>A less B, or ratio excess below/above threshold as applicable</w:t>
            </w:r>
          </w:p>
        </w:tc>
        <w:tc>
          <w:tcPr>
            <w:tcW w:type="dxa" w:w="2664"/>
            <w:shd w:fill="F8FBFE"/>
            <w:vAlign w:val="center"/>
          </w:tcPr>
          <w:p>
            <w:pPr>
              <w:spacing w:after="0"/>
            </w:pPr>
            <w:r/>
            <w:r>
              <w:rPr>
                <w:b/>
                <w:i w:val="0"/>
                <w:color w:val="000000"/>
                <w:sz w:val="15"/>
                <w:highlight w:val="yellow"/>
              </w:rPr>
              <w:t>{capital_buffer_or_shortfall}</w:t>
            </w:r>
          </w:p>
        </w:tc>
        <w:tc>
          <w:tcPr>
            <w:tcW w:type="dxa" w:w="2664"/>
            <w:shd w:fill="F8FBFE"/>
            <w:vAlign w:val="center"/>
          </w:tcPr>
          <w:p>
            <w:pPr>
              <w:spacing w:after="0"/>
            </w:pPr>
            <w:r/>
            <w:r>
              <w:rPr>
                <w:b/>
                <w:i w:val="0"/>
                <w:color w:val="000000"/>
                <w:sz w:val="15"/>
                <w:highlight w:val="yellow"/>
              </w:rPr>
              <w:t>{buffer_calculation_reference}</w:t>
            </w:r>
          </w:p>
        </w:tc>
      </w:tr>
    </w:tbl>
    <w:p>
      <w:pPr>
        <w:spacing w:after="80" w:line="240" w:lineRule="auto"/>
      </w:pPr>
    </w:p>
    <w:p>
      <w:pPr>
        <w:spacing w:after="120" w:line="240" w:lineRule="auto"/>
      </w:pPr>
      <w:r>
        <w:rPr>
          <w:b w:val="0"/>
          <w:i w:val="0"/>
          <w:sz w:val="17"/>
        </w:rPr>
        <w:t xml:space="preserve">Capital adequacy status: </w:t>
      </w:r>
      <w:r>
        <w:rPr>
          <w:b/>
          <w:i w:val="0"/>
          <w:color w:val="000000"/>
          <w:sz w:val="17"/>
          <w:highlight w:val="yellow"/>
        </w:rPr>
        <w:t>{capital_adequacy_status}</w:t>
      </w:r>
      <w:r>
        <w:rPr>
          <w:b w:val="0"/>
          <w:i w:val="0"/>
          <w:sz w:val="17"/>
        </w:rPr>
        <w:t xml:space="preserve">. Required management action: </w:t>
      </w:r>
      <w:r>
        <w:rPr>
          <w:b/>
          <w:i w:val="0"/>
          <w:color w:val="000000"/>
          <w:sz w:val="17"/>
          <w:highlight w:val="yellow"/>
        </w:rPr>
        <w:t>{required_management_action}</w:t>
      </w:r>
      <w:r>
        <w:rPr>
          <w:b w:val="0"/>
          <w:i w:val="0"/>
          <w:sz w:val="17"/>
        </w:rPr>
        <w:t>.</w:t>
      </w:r>
    </w:p>
    <w:p>
      <w:pPr>
        <w:spacing w:before="200" w:after="120" w:line="240" w:lineRule="auto"/>
        <w:pBdr>
          <w:bottom w:val="single" w:sz="8" w:space="4" w:color="1E88E5"/>
        </w:pBdr>
      </w:pPr>
      <w:r>
        <w:rPr>
          <w:b/>
          <w:color w:val="071827"/>
          <w:sz w:val="28"/>
        </w:rPr>
        <w:t>4. Adjusted Liquid Capital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Use only eligible liquid capital items supported by the approved balance sheet, bank confirmations, custody statements and approved valuation records. Exclude client assets, restricted balances, illiquid assets and unsupported receivables unless specifically permitted by the applicable regulatory basis.</w:t>
            </w:r>
          </w:p>
        </w:tc>
      </w:tr>
    </w:tbl>
    <w:p>
      <w:pPr>
        <w:spacing w:after="40" w:line="240" w:lineRule="auto"/>
      </w:pP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Component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Treatment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 Evidence</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r>
      <w:tr>
        <w:tc>
          <w:tcPr>
            <w:tcW w:type="dxa" w:w="2664"/>
            <w:shd w:fill="F8FBFE"/>
            <w:vAlign w:val="center"/>
          </w:tcPr>
          <w:p>
            <w:pPr>
              <w:spacing w:after="0"/>
            </w:pPr>
            <w:r/>
            <w:r>
              <w:rPr>
                <w:b w:val="0"/>
                <w:i w:val="0"/>
                <w:sz w:val="14"/>
              </w:rPr>
              <w:t>Cash at bank - operational accounts</w:t>
            </w:r>
          </w:p>
        </w:tc>
        <w:tc>
          <w:tcPr>
            <w:tcW w:type="dxa" w:w="2664"/>
            <w:shd w:fill="F8FBFE"/>
            <w:vAlign w:val="center"/>
          </w:tcPr>
          <w:p>
            <w:pPr>
              <w:spacing w:after="0"/>
            </w:pPr>
            <w:r/>
            <w:r>
              <w:rPr>
                <w:b w:val="0"/>
                <w:i w:val="0"/>
                <w:sz w:val="14"/>
              </w:rPr>
              <w:t>Include if unrestricted and entity-owned</w:t>
            </w:r>
          </w:p>
        </w:tc>
        <w:tc>
          <w:tcPr>
            <w:tcW w:type="dxa" w:w="2664"/>
            <w:shd w:fill="F8FBFE"/>
            <w:vAlign w:val="center"/>
          </w:tcPr>
          <w:p>
            <w:pPr>
              <w:spacing w:after="0"/>
            </w:pPr>
            <w:r/>
            <w:r>
              <w:rPr>
                <w:b/>
                <w:i w:val="0"/>
                <w:color w:val="000000"/>
                <w:sz w:val="14"/>
                <w:highlight w:val="yellow"/>
              </w:rPr>
              <w:t>{bank_statement_reference}</w:t>
            </w:r>
          </w:p>
        </w:tc>
        <w:tc>
          <w:tcPr>
            <w:tcW w:type="dxa" w:w="2664"/>
            <w:shd w:fill="F8FBFE"/>
            <w:vAlign w:val="center"/>
          </w:tcPr>
          <w:p>
            <w:pPr>
              <w:spacing w:after="0"/>
            </w:pPr>
            <w:r/>
            <w:r>
              <w:rPr>
                <w:b/>
                <w:i w:val="0"/>
                <w:color w:val="000000"/>
                <w:sz w:val="14"/>
                <w:highlight w:val="yellow"/>
              </w:rPr>
              <w:t>{cash_operational_amount}</w:t>
            </w:r>
          </w:p>
        </w:tc>
      </w:tr>
      <w:tr>
        <w:tc>
          <w:tcPr>
            <w:tcW w:type="dxa" w:w="2664"/>
            <w:vAlign w:val="center"/>
          </w:tcPr>
          <w:p>
            <w:pPr>
              <w:spacing w:after="0"/>
            </w:pPr>
            <w:r/>
            <w:r>
              <w:rPr>
                <w:b w:val="0"/>
                <w:i w:val="0"/>
                <w:sz w:val="14"/>
              </w:rPr>
              <w:t>Cash equivalents / money market instruments</w:t>
            </w:r>
          </w:p>
        </w:tc>
        <w:tc>
          <w:tcPr>
            <w:tcW w:type="dxa" w:w="2664"/>
            <w:vAlign w:val="center"/>
          </w:tcPr>
          <w:p>
            <w:pPr>
              <w:spacing w:after="0"/>
            </w:pPr>
            <w:r/>
            <w:r>
              <w:rPr>
                <w:b w:val="0"/>
                <w:i w:val="0"/>
                <w:sz w:val="14"/>
              </w:rPr>
              <w:t>Include where eligible and readily realisable</w:t>
            </w:r>
          </w:p>
        </w:tc>
        <w:tc>
          <w:tcPr>
            <w:tcW w:type="dxa" w:w="2664"/>
            <w:vAlign w:val="center"/>
          </w:tcPr>
          <w:p>
            <w:pPr>
              <w:spacing w:after="0"/>
            </w:pPr>
            <w:r/>
            <w:r>
              <w:rPr>
                <w:b/>
                <w:i w:val="0"/>
                <w:color w:val="000000"/>
                <w:sz w:val="14"/>
                <w:highlight w:val="yellow"/>
              </w:rPr>
              <w:t>{money_market_schedule_reference}</w:t>
            </w:r>
          </w:p>
        </w:tc>
        <w:tc>
          <w:tcPr>
            <w:tcW w:type="dxa" w:w="2664"/>
            <w:vAlign w:val="center"/>
          </w:tcPr>
          <w:p>
            <w:pPr>
              <w:spacing w:after="0"/>
            </w:pPr>
            <w:r/>
            <w:r>
              <w:rPr>
                <w:b/>
                <w:i w:val="0"/>
                <w:color w:val="000000"/>
                <w:sz w:val="14"/>
                <w:highlight w:val="yellow"/>
              </w:rPr>
              <w:t>{cash_equivalent_amount}</w:t>
            </w:r>
          </w:p>
        </w:tc>
      </w:tr>
      <w:tr>
        <w:tc>
          <w:tcPr>
            <w:tcW w:type="dxa" w:w="2664"/>
            <w:shd w:fill="F8FBFE"/>
            <w:vAlign w:val="center"/>
          </w:tcPr>
          <w:p>
            <w:pPr>
              <w:spacing w:after="0"/>
            </w:pPr>
            <w:r/>
            <w:r>
              <w:rPr>
                <w:b w:val="0"/>
                <w:i w:val="0"/>
                <w:sz w:val="14"/>
              </w:rPr>
              <w:t>Eligible listed securities</w:t>
            </w:r>
          </w:p>
        </w:tc>
        <w:tc>
          <w:tcPr>
            <w:tcW w:type="dxa" w:w="2664"/>
            <w:shd w:fill="F8FBFE"/>
            <w:vAlign w:val="center"/>
          </w:tcPr>
          <w:p>
            <w:pPr>
              <w:spacing w:after="0"/>
            </w:pPr>
            <w:r/>
            <w:r>
              <w:rPr>
                <w:b w:val="0"/>
                <w:i w:val="0"/>
                <w:sz w:val="14"/>
              </w:rPr>
              <w:t>Include at approved market value subject to applicable haircuts</w:t>
            </w:r>
          </w:p>
        </w:tc>
        <w:tc>
          <w:tcPr>
            <w:tcW w:type="dxa" w:w="2664"/>
            <w:shd w:fill="F8FBFE"/>
            <w:vAlign w:val="center"/>
          </w:tcPr>
          <w:p>
            <w:pPr>
              <w:spacing w:after="0"/>
            </w:pPr>
            <w:r/>
            <w:r>
              <w:rPr>
                <w:b/>
                <w:i w:val="0"/>
                <w:color w:val="000000"/>
                <w:sz w:val="14"/>
                <w:highlight w:val="yellow"/>
              </w:rPr>
              <w:t>{listed_securities_schedule_reference}</w:t>
            </w:r>
          </w:p>
        </w:tc>
        <w:tc>
          <w:tcPr>
            <w:tcW w:type="dxa" w:w="2664"/>
            <w:shd w:fill="F8FBFE"/>
            <w:vAlign w:val="center"/>
          </w:tcPr>
          <w:p>
            <w:pPr>
              <w:spacing w:after="0"/>
            </w:pPr>
            <w:r/>
            <w:r>
              <w:rPr>
                <w:b/>
                <w:i w:val="0"/>
                <w:color w:val="000000"/>
                <w:sz w:val="14"/>
                <w:highlight w:val="yellow"/>
              </w:rPr>
              <w:t>{eligible_listed_securities_amount}</w:t>
            </w:r>
          </w:p>
        </w:tc>
      </w:tr>
      <w:tr>
        <w:tc>
          <w:tcPr>
            <w:tcW w:type="dxa" w:w="2664"/>
            <w:vAlign w:val="center"/>
          </w:tcPr>
          <w:p>
            <w:pPr>
              <w:spacing w:after="0"/>
            </w:pPr>
            <w:r/>
            <w:r>
              <w:rPr>
                <w:b w:val="0"/>
                <w:i w:val="0"/>
                <w:sz w:val="14"/>
              </w:rPr>
              <w:t>Eligible receivables</w:t>
            </w:r>
          </w:p>
        </w:tc>
        <w:tc>
          <w:tcPr>
            <w:tcW w:type="dxa" w:w="2664"/>
            <w:vAlign w:val="center"/>
          </w:tcPr>
          <w:p>
            <w:pPr>
              <w:spacing w:after="0"/>
            </w:pPr>
            <w:r/>
            <w:r>
              <w:rPr>
                <w:b w:val="0"/>
                <w:i w:val="0"/>
                <w:sz w:val="14"/>
              </w:rPr>
              <w:t>Include only allowable current receivables</w:t>
            </w:r>
          </w:p>
        </w:tc>
        <w:tc>
          <w:tcPr>
            <w:tcW w:type="dxa" w:w="2664"/>
            <w:vAlign w:val="center"/>
          </w:tcPr>
          <w:p>
            <w:pPr>
              <w:spacing w:after="0"/>
            </w:pPr>
            <w:r/>
            <w:r>
              <w:rPr>
                <w:b/>
                <w:i w:val="0"/>
                <w:color w:val="000000"/>
                <w:sz w:val="14"/>
                <w:highlight w:val="yellow"/>
              </w:rPr>
              <w:t>{receivables_ageing_reference}</w:t>
            </w:r>
          </w:p>
        </w:tc>
        <w:tc>
          <w:tcPr>
            <w:tcW w:type="dxa" w:w="2664"/>
            <w:vAlign w:val="center"/>
          </w:tcPr>
          <w:p>
            <w:pPr>
              <w:spacing w:after="0"/>
            </w:pPr>
            <w:r/>
            <w:r>
              <w:rPr>
                <w:b/>
                <w:i w:val="0"/>
                <w:color w:val="000000"/>
                <w:sz w:val="14"/>
                <w:highlight w:val="yellow"/>
              </w:rPr>
              <w:t>{eligible_receivables_amount}</w:t>
            </w:r>
          </w:p>
        </w:tc>
      </w:tr>
      <w:tr>
        <w:tc>
          <w:tcPr>
            <w:tcW w:type="dxa" w:w="2664"/>
            <w:shd w:fill="F8FBFE"/>
            <w:vAlign w:val="center"/>
          </w:tcPr>
          <w:p>
            <w:pPr>
              <w:spacing w:after="0"/>
            </w:pPr>
            <w:r/>
            <w:r>
              <w:rPr>
                <w:b w:val="0"/>
                <w:i w:val="0"/>
                <w:sz w:val="14"/>
              </w:rPr>
              <w:t>Other eligible liquid assets</w:t>
            </w:r>
          </w:p>
        </w:tc>
        <w:tc>
          <w:tcPr>
            <w:tcW w:type="dxa" w:w="2664"/>
            <w:shd w:fill="F8FBFE"/>
            <w:vAlign w:val="center"/>
          </w:tcPr>
          <w:p>
            <w:pPr>
              <w:spacing w:after="0"/>
            </w:pPr>
            <w:r/>
            <w:r>
              <w:rPr>
                <w:b/>
                <w:i w:val="0"/>
                <w:color w:val="000000"/>
                <w:sz w:val="14"/>
                <w:highlight w:val="yellow"/>
              </w:rPr>
              <w:t>{eligibility_treatment}</w:t>
            </w:r>
          </w:p>
        </w:tc>
        <w:tc>
          <w:tcPr>
            <w:tcW w:type="dxa" w:w="2664"/>
            <w:shd w:fill="F8FBFE"/>
            <w:vAlign w:val="center"/>
          </w:tcPr>
          <w:p>
            <w:pPr>
              <w:spacing w:after="0"/>
            </w:pPr>
            <w:r/>
            <w:r>
              <w:rPr>
                <w:b/>
                <w:i w:val="0"/>
                <w:color w:val="000000"/>
                <w:sz w:val="14"/>
                <w:highlight w:val="yellow"/>
              </w:rPr>
              <w:t>{other_liquid_assets_reference}</w:t>
            </w:r>
          </w:p>
        </w:tc>
        <w:tc>
          <w:tcPr>
            <w:tcW w:type="dxa" w:w="2664"/>
            <w:shd w:fill="F8FBFE"/>
            <w:vAlign w:val="center"/>
          </w:tcPr>
          <w:p>
            <w:pPr>
              <w:spacing w:after="0"/>
            </w:pPr>
            <w:r/>
            <w:r>
              <w:rPr>
                <w:b/>
                <w:i w:val="0"/>
                <w:color w:val="000000"/>
                <w:sz w:val="14"/>
                <w:highlight w:val="yellow"/>
              </w:rPr>
              <w:t>{other_liquid_assets_amount}</w:t>
            </w:r>
          </w:p>
        </w:tc>
      </w:tr>
      <w:tr>
        <w:tc>
          <w:tcPr>
            <w:tcW w:type="dxa" w:w="2664"/>
            <w:vAlign w:val="center"/>
          </w:tcPr>
          <w:p>
            <w:pPr>
              <w:spacing w:after="0"/>
            </w:pPr>
            <w:r/>
            <w:r>
              <w:rPr>
                <w:b w:val="0"/>
                <w:i w:val="0"/>
                <w:sz w:val="14"/>
              </w:rPr>
              <w:t>Less: ineligible / illiquid assets</w:t>
            </w:r>
          </w:p>
        </w:tc>
        <w:tc>
          <w:tcPr>
            <w:tcW w:type="dxa" w:w="2664"/>
            <w:vAlign w:val="center"/>
          </w:tcPr>
          <w:p>
            <w:pPr>
              <w:spacing w:after="0"/>
            </w:pPr>
            <w:r/>
            <w:r>
              <w:rPr>
                <w:b w:val="0"/>
                <w:i w:val="0"/>
                <w:sz w:val="14"/>
              </w:rPr>
              <w:t>Deduct non-qualifying assets</w:t>
            </w:r>
          </w:p>
        </w:tc>
        <w:tc>
          <w:tcPr>
            <w:tcW w:type="dxa" w:w="2664"/>
            <w:vAlign w:val="center"/>
          </w:tcPr>
          <w:p>
            <w:pPr>
              <w:spacing w:after="0"/>
            </w:pPr>
            <w:r/>
            <w:r>
              <w:rPr>
                <w:b/>
                <w:i w:val="0"/>
                <w:color w:val="000000"/>
                <w:sz w:val="14"/>
                <w:highlight w:val="yellow"/>
              </w:rPr>
              <w:t>{ineligible_assets_schedule_reference}</w:t>
            </w:r>
          </w:p>
        </w:tc>
        <w:tc>
          <w:tcPr>
            <w:tcW w:type="dxa" w:w="2664"/>
            <w:vAlign w:val="center"/>
          </w:tcPr>
          <w:p>
            <w:pPr>
              <w:spacing w:after="0"/>
            </w:pPr>
            <w:r/>
            <w:r>
              <w:rPr>
                <w:b w:val="0"/>
                <w:i w:val="0"/>
                <w:sz w:val="14"/>
              </w:rPr>
              <w:t>(</w:t>
            </w:r>
            <w:r>
              <w:rPr>
                <w:b/>
                <w:i w:val="0"/>
                <w:color w:val="000000"/>
                <w:sz w:val="14"/>
                <w:highlight w:val="yellow"/>
              </w:rPr>
              <w:t>{ineligible_assets_amount}</w:t>
            </w:r>
            <w:r>
              <w:rPr>
                <w:b w:val="0"/>
                <w:i w:val="0"/>
                <w:sz w:val="14"/>
              </w:rPr>
              <w:t>)</w:t>
            </w:r>
          </w:p>
        </w:tc>
      </w:tr>
      <w:tr>
        <w:tc>
          <w:tcPr>
            <w:tcW w:type="dxa" w:w="2664"/>
            <w:shd w:fill="F8FBFE"/>
            <w:vAlign w:val="center"/>
          </w:tcPr>
          <w:p>
            <w:pPr>
              <w:spacing w:after="0"/>
            </w:pPr>
            <w:r/>
            <w:r>
              <w:rPr>
                <w:b w:val="0"/>
                <w:i w:val="0"/>
                <w:sz w:val="14"/>
              </w:rPr>
              <w:t>Less: related-party / doubtful receivables</w:t>
            </w:r>
          </w:p>
        </w:tc>
        <w:tc>
          <w:tcPr>
            <w:tcW w:type="dxa" w:w="2664"/>
            <w:shd w:fill="F8FBFE"/>
            <w:vAlign w:val="center"/>
          </w:tcPr>
          <w:p>
            <w:pPr>
              <w:spacing w:after="0"/>
            </w:pPr>
            <w:r/>
            <w:r>
              <w:rPr>
                <w:b w:val="0"/>
                <w:i w:val="0"/>
                <w:sz w:val="14"/>
              </w:rPr>
              <w:t>Deduct where not eligible or not recoverable</w:t>
            </w:r>
          </w:p>
        </w:tc>
        <w:tc>
          <w:tcPr>
            <w:tcW w:type="dxa" w:w="2664"/>
            <w:shd w:fill="F8FBFE"/>
            <w:vAlign w:val="center"/>
          </w:tcPr>
          <w:p>
            <w:pPr>
              <w:spacing w:after="0"/>
            </w:pPr>
            <w:r/>
            <w:r>
              <w:rPr>
                <w:b/>
                <w:i w:val="0"/>
                <w:color w:val="000000"/>
                <w:sz w:val="14"/>
                <w:highlight w:val="yellow"/>
              </w:rPr>
              <w:t>{related_party_receivables_reference}</w:t>
            </w:r>
          </w:p>
        </w:tc>
        <w:tc>
          <w:tcPr>
            <w:tcW w:type="dxa" w:w="2664"/>
            <w:shd w:fill="F8FBFE"/>
            <w:vAlign w:val="center"/>
          </w:tcPr>
          <w:p>
            <w:pPr>
              <w:spacing w:after="0"/>
            </w:pPr>
            <w:r/>
            <w:r>
              <w:rPr>
                <w:b w:val="0"/>
                <w:i w:val="0"/>
                <w:sz w:val="14"/>
              </w:rPr>
              <w:t>(</w:t>
            </w:r>
            <w:r>
              <w:rPr>
                <w:b/>
                <w:i w:val="0"/>
                <w:color w:val="000000"/>
                <w:sz w:val="14"/>
                <w:highlight w:val="yellow"/>
              </w:rPr>
              <w:t>{related_party_deductions_amount}</w:t>
            </w:r>
            <w:r>
              <w:rPr>
                <w:b w:val="0"/>
                <w:i w:val="0"/>
                <w:sz w:val="14"/>
              </w:rPr>
              <w:t>)</w:t>
            </w:r>
          </w:p>
        </w:tc>
      </w:tr>
      <w:tr>
        <w:tc>
          <w:tcPr>
            <w:tcW w:type="dxa" w:w="2664"/>
            <w:vAlign w:val="center"/>
          </w:tcPr>
          <w:p>
            <w:pPr>
              <w:spacing w:after="0"/>
            </w:pPr>
            <w:r/>
            <w:r>
              <w:rPr>
                <w:b w:val="0"/>
                <w:i w:val="0"/>
                <w:sz w:val="14"/>
              </w:rPr>
              <w:t>Less: restricted cash / client money</w:t>
            </w:r>
          </w:p>
        </w:tc>
        <w:tc>
          <w:tcPr>
            <w:tcW w:type="dxa" w:w="2664"/>
            <w:vAlign w:val="center"/>
          </w:tcPr>
          <w:p>
            <w:pPr>
              <w:spacing w:after="0"/>
            </w:pPr>
            <w:r/>
            <w:r>
              <w:rPr>
                <w:b w:val="0"/>
                <w:i w:val="0"/>
                <w:sz w:val="14"/>
              </w:rPr>
              <w:t>Deduct assets not available to meet own obligations</w:t>
            </w:r>
          </w:p>
        </w:tc>
        <w:tc>
          <w:tcPr>
            <w:tcW w:type="dxa" w:w="2664"/>
            <w:vAlign w:val="center"/>
          </w:tcPr>
          <w:p>
            <w:pPr>
              <w:spacing w:after="0"/>
            </w:pPr>
            <w:r/>
            <w:r>
              <w:rPr>
                <w:b/>
                <w:i w:val="0"/>
                <w:color w:val="000000"/>
                <w:sz w:val="14"/>
                <w:highlight w:val="yellow"/>
              </w:rPr>
              <w:t>{restricted_cash_reference}</w:t>
            </w:r>
          </w:p>
        </w:tc>
        <w:tc>
          <w:tcPr>
            <w:tcW w:type="dxa" w:w="2664"/>
            <w:vAlign w:val="center"/>
          </w:tcPr>
          <w:p>
            <w:pPr>
              <w:spacing w:after="0"/>
            </w:pPr>
            <w:r/>
            <w:r>
              <w:rPr>
                <w:b w:val="0"/>
                <w:i w:val="0"/>
                <w:sz w:val="14"/>
              </w:rPr>
              <w:t>(</w:t>
            </w:r>
            <w:r>
              <w:rPr>
                <w:b/>
                <w:i w:val="0"/>
                <w:color w:val="000000"/>
                <w:sz w:val="14"/>
                <w:highlight w:val="yellow"/>
              </w:rPr>
              <w:t>{restricted_cash_client_money_amount}</w:t>
            </w:r>
            <w:r>
              <w:rPr>
                <w:b w:val="0"/>
                <w:i w:val="0"/>
                <w:sz w:val="14"/>
              </w:rPr>
              <w:t>)</w:t>
            </w:r>
          </w:p>
        </w:tc>
      </w:tr>
      <w:tr>
        <w:tc>
          <w:tcPr>
            <w:tcW w:type="dxa" w:w="2664"/>
            <w:shd w:fill="F8FBFE"/>
            <w:vAlign w:val="center"/>
          </w:tcPr>
          <w:p>
            <w:pPr>
              <w:spacing w:after="0"/>
            </w:pPr>
            <w:r/>
            <w:r>
              <w:rPr>
                <w:b w:val="0"/>
                <w:i w:val="0"/>
                <w:sz w:val="14"/>
              </w:rPr>
              <w:t>Less: applicable regulatory haircuts</w:t>
            </w:r>
          </w:p>
        </w:tc>
        <w:tc>
          <w:tcPr>
            <w:tcW w:type="dxa" w:w="2664"/>
            <w:shd w:fill="F8FBFE"/>
            <w:vAlign w:val="center"/>
          </w:tcPr>
          <w:p>
            <w:pPr>
              <w:spacing w:after="0"/>
            </w:pPr>
            <w:r/>
            <w:r>
              <w:rPr>
                <w:b w:val="0"/>
                <w:i w:val="0"/>
                <w:sz w:val="14"/>
              </w:rPr>
              <w:t>Apply prescribed or policy haircuts</w:t>
            </w:r>
          </w:p>
        </w:tc>
        <w:tc>
          <w:tcPr>
            <w:tcW w:type="dxa" w:w="2664"/>
            <w:shd w:fill="F8FBFE"/>
            <w:vAlign w:val="center"/>
          </w:tcPr>
          <w:p>
            <w:pPr>
              <w:spacing w:after="0"/>
            </w:pPr>
            <w:r/>
            <w:r>
              <w:rPr>
                <w:b/>
                <w:i w:val="0"/>
                <w:color w:val="000000"/>
                <w:sz w:val="14"/>
                <w:highlight w:val="yellow"/>
              </w:rPr>
              <w:t>{haircut_calculation_reference}</w:t>
            </w:r>
          </w:p>
        </w:tc>
        <w:tc>
          <w:tcPr>
            <w:tcW w:type="dxa" w:w="2664"/>
            <w:shd w:fill="F8FBFE"/>
            <w:vAlign w:val="center"/>
          </w:tcPr>
          <w:p>
            <w:pPr>
              <w:spacing w:after="0"/>
            </w:pPr>
            <w:r/>
            <w:r>
              <w:rPr>
                <w:b w:val="0"/>
                <w:i w:val="0"/>
                <w:sz w:val="14"/>
              </w:rPr>
              <w:t>(</w:t>
            </w:r>
            <w:r>
              <w:rPr>
                <w:b/>
                <w:i w:val="0"/>
                <w:color w:val="000000"/>
                <w:sz w:val="14"/>
                <w:highlight w:val="yellow"/>
              </w:rPr>
              <w:t>{regulatory_haircuts_amount}</w:t>
            </w:r>
            <w:r>
              <w:rPr>
                <w:b w:val="0"/>
                <w:i w:val="0"/>
                <w:sz w:val="14"/>
              </w:rPr>
              <w:t>)</w:t>
            </w:r>
          </w:p>
        </w:tc>
      </w:tr>
      <w:tr>
        <w:tc>
          <w:tcPr>
            <w:tcW w:type="dxa" w:w="2664"/>
            <w:vAlign w:val="center"/>
          </w:tcPr>
          <w:p>
            <w:pPr>
              <w:spacing w:after="0"/>
            </w:pPr>
            <w:r/>
            <w:r>
              <w:rPr>
                <w:b w:val="0"/>
                <w:i w:val="0"/>
                <w:sz w:val="14"/>
              </w:rPr>
              <w:t>Adjusted Liquid Capital</w:t>
            </w:r>
          </w:p>
        </w:tc>
        <w:tc>
          <w:tcPr>
            <w:tcW w:type="dxa" w:w="2664"/>
            <w:vAlign w:val="center"/>
          </w:tcPr>
          <w:p>
            <w:pPr>
              <w:spacing w:after="0"/>
            </w:pPr>
            <w:r/>
            <w:r>
              <w:rPr>
                <w:b w:val="0"/>
                <w:i w:val="0"/>
                <w:sz w:val="14"/>
              </w:rPr>
              <w:t>Total eligible capital after deductions</w:t>
            </w:r>
          </w:p>
        </w:tc>
        <w:tc>
          <w:tcPr>
            <w:tcW w:type="dxa" w:w="2664"/>
            <w:vAlign w:val="center"/>
          </w:tcPr>
          <w:p>
            <w:pPr>
              <w:spacing w:after="0"/>
            </w:pPr>
            <w:r/>
            <w:r>
              <w:rPr>
                <w:b/>
                <w:i w:val="0"/>
                <w:color w:val="000000"/>
                <w:sz w:val="14"/>
                <w:highlight w:val="yellow"/>
              </w:rPr>
              <w:t>{alc_working_paper_reference}</w:t>
            </w:r>
          </w:p>
        </w:tc>
        <w:tc>
          <w:tcPr>
            <w:tcW w:type="dxa" w:w="2664"/>
            <w:vAlign w:val="center"/>
          </w:tcPr>
          <w:p>
            <w:pPr>
              <w:spacing w:after="0"/>
            </w:pPr>
            <w:r/>
            <w:r>
              <w:rPr>
                <w:b/>
                <w:i w:val="0"/>
                <w:color w:val="000000"/>
                <w:sz w:val="14"/>
                <w:highlight w:val="yellow"/>
              </w:rPr>
              <w:t>{adjusted_liquid_capital}</w:t>
            </w:r>
          </w:p>
        </w:tc>
      </w:tr>
    </w:tbl>
    <w:p>
      <w:pPr>
        <w:spacing w:after="80" w:line="240" w:lineRule="auto"/>
      </w:pPr>
    </w:p>
    <w:p>
      <w:pPr>
        <w:spacing w:before="200" w:after="120" w:line="240" w:lineRule="auto"/>
        <w:pBdr>
          <w:bottom w:val="single" w:sz="8" w:space="4" w:color="1E88E5"/>
        </w:pBdr>
      </w:pPr>
      <w:r>
        <w:rPr>
          <w:b/>
          <w:color w:val="071827"/>
          <w:sz w:val="28"/>
        </w:rPr>
        <w:t>5. Total Capital Requirement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Populate each requirement component based on the entity licence type and the current regulatory computation basis. Use nil only where a component is not applicable and document the reason.</w:t>
            </w:r>
          </w:p>
        </w:tc>
      </w:tr>
    </w:tbl>
    <w:p>
      <w:pPr>
        <w:spacing w:after="40" w:line="240" w:lineRule="auto"/>
      </w:pP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Requirement Component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Computation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Evidence / Comment</w:t>
            </w:r>
          </w:p>
        </w:tc>
      </w:tr>
      <w:tr>
        <w:tc>
          <w:tcPr>
            <w:tcW w:type="dxa" w:w="2664"/>
            <w:shd w:fill="F8FBFE"/>
            <w:vAlign w:val="center"/>
          </w:tcPr>
          <w:p>
            <w:pPr>
              <w:spacing w:after="0"/>
            </w:pPr>
            <w:r/>
            <w:r>
              <w:rPr>
                <w:b w:val="0"/>
                <w:i w:val="0"/>
                <w:sz w:val="14"/>
              </w:rPr>
              <w:t>Base minimum capital requirement</w:t>
            </w:r>
          </w:p>
        </w:tc>
        <w:tc>
          <w:tcPr>
            <w:tcW w:type="dxa" w:w="2664"/>
            <w:shd w:fill="F8FBFE"/>
            <w:vAlign w:val="center"/>
          </w:tcPr>
          <w:p>
            <w:pPr>
              <w:spacing w:after="0"/>
            </w:pPr>
            <w:r/>
            <w:r>
              <w:rPr>
                <w:b/>
                <w:i w:val="0"/>
                <w:color w:val="000000"/>
                <w:sz w:val="14"/>
                <w:highlight w:val="yellow"/>
              </w:rPr>
              <w:t>{base_minimum_capital_basis}</w:t>
            </w:r>
          </w:p>
        </w:tc>
        <w:tc>
          <w:tcPr>
            <w:tcW w:type="dxa" w:w="2664"/>
            <w:shd w:fill="F8FBFE"/>
            <w:vAlign w:val="center"/>
          </w:tcPr>
          <w:p>
            <w:pPr>
              <w:spacing w:after="0"/>
            </w:pPr>
            <w:r/>
            <w:r>
              <w:rPr>
                <w:b/>
                <w:i w:val="0"/>
                <w:color w:val="000000"/>
                <w:sz w:val="14"/>
                <w:highlight w:val="yellow"/>
              </w:rPr>
              <w:t>{base_minimum_capital_requirement}</w:t>
            </w:r>
          </w:p>
        </w:tc>
        <w:tc>
          <w:tcPr>
            <w:tcW w:type="dxa" w:w="2664"/>
            <w:shd w:fill="F8FBFE"/>
            <w:vAlign w:val="center"/>
          </w:tcPr>
          <w:p>
            <w:pPr>
              <w:spacing w:after="0"/>
            </w:pPr>
            <w:r/>
            <w:r>
              <w:rPr>
                <w:b/>
                <w:i w:val="0"/>
                <w:color w:val="000000"/>
                <w:sz w:val="14"/>
                <w:highlight w:val="yellow"/>
              </w:rPr>
              <w:t>{base_minimum_reference}</w:t>
            </w:r>
          </w:p>
        </w:tc>
      </w:tr>
      <w:tr>
        <w:tc>
          <w:tcPr>
            <w:tcW w:type="dxa" w:w="2664"/>
            <w:vAlign w:val="center"/>
          </w:tcPr>
          <w:p>
            <w:pPr>
              <w:spacing w:after="0"/>
            </w:pPr>
            <w:r/>
            <w:r>
              <w:rPr>
                <w:b w:val="0"/>
                <w:i w:val="0"/>
                <w:sz w:val="14"/>
              </w:rPr>
              <w:t>Expense-based requirement</w:t>
            </w:r>
          </w:p>
        </w:tc>
        <w:tc>
          <w:tcPr>
            <w:tcW w:type="dxa" w:w="2664"/>
            <w:vAlign w:val="center"/>
          </w:tcPr>
          <w:p>
            <w:pPr>
              <w:spacing w:after="0"/>
            </w:pPr>
            <w:r/>
            <w:r>
              <w:rPr>
                <w:b/>
                <w:i w:val="0"/>
                <w:color w:val="000000"/>
                <w:sz w:val="14"/>
                <w:highlight w:val="yellow"/>
              </w:rPr>
              <w:t>{expense_requirement_formula}</w:t>
            </w:r>
          </w:p>
        </w:tc>
        <w:tc>
          <w:tcPr>
            <w:tcW w:type="dxa" w:w="2664"/>
            <w:vAlign w:val="center"/>
          </w:tcPr>
          <w:p>
            <w:pPr>
              <w:spacing w:after="0"/>
            </w:pPr>
            <w:r/>
            <w:r>
              <w:rPr>
                <w:b/>
                <w:i w:val="0"/>
                <w:color w:val="000000"/>
                <w:sz w:val="14"/>
                <w:highlight w:val="yellow"/>
              </w:rPr>
              <w:t>{expense_based_requirement}</w:t>
            </w:r>
          </w:p>
        </w:tc>
        <w:tc>
          <w:tcPr>
            <w:tcW w:type="dxa" w:w="2664"/>
            <w:vAlign w:val="center"/>
          </w:tcPr>
          <w:p>
            <w:pPr>
              <w:spacing w:after="0"/>
            </w:pPr>
            <w:r/>
            <w:r>
              <w:rPr>
                <w:b/>
                <w:i w:val="0"/>
                <w:color w:val="000000"/>
                <w:sz w:val="14"/>
                <w:highlight w:val="yellow"/>
              </w:rPr>
              <w:t>{expense_support_reference}</w:t>
            </w:r>
          </w:p>
        </w:tc>
      </w:tr>
      <w:tr>
        <w:tc>
          <w:tcPr>
            <w:tcW w:type="dxa" w:w="2664"/>
            <w:shd w:fill="F8FBFE"/>
            <w:vAlign w:val="center"/>
          </w:tcPr>
          <w:p>
            <w:pPr>
              <w:spacing w:after="0"/>
            </w:pPr>
            <w:r/>
            <w:r>
              <w:rPr>
                <w:b w:val="0"/>
                <w:i w:val="0"/>
                <w:sz w:val="14"/>
              </w:rPr>
              <w:t>AUM / FUM-based component</w:t>
            </w:r>
          </w:p>
        </w:tc>
        <w:tc>
          <w:tcPr>
            <w:tcW w:type="dxa" w:w="2664"/>
            <w:shd w:fill="F8FBFE"/>
            <w:vAlign w:val="center"/>
          </w:tcPr>
          <w:p>
            <w:pPr>
              <w:spacing w:after="0"/>
            </w:pPr>
            <w:r/>
            <w:r>
              <w:rPr>
                <w:b/>
                <w:i w:val="0"/>
                <w:color w:val="000000"/>
                <w:sz w:val="14"/>
                <w:highlight w:val="yellow"/>
              </w:rPr>
              <w:t>{aum_fum_formula}</w:t>
            </w:r>
          </w:p>
        </w:tc>
        <w:tc>
          <w:tcPr>
            <w:tcW w:type="dxa" w:w="2664"/>
            <w:shd w:fill="F8FBFE"/>
            <w:vAlign w:val="center"/>
          </w:tcPr>
          <w:p>
            <w:pPr>
              <w:spacing w:after="0"/>
            </w:pPr>
            <w:r/>
            <w:r>
              <w:rPr>
                <w:b/>
                <w:i w:val="0"/>
                <w:color w:val="000000"/>
                <w:sz w:val="14"/>
                <w:highlight w:val="yellow"/>
              </w:rPr>
              <w:t>{aum_fum_based_requirement}</w:t>
            </w:r>
          </w:p>
        </w:tc>
        <w:tc>
          <w:tcPr>
            <w:tcW w:type="dxa" w:w="2664"/>
            <w:shd w:fill="F8FBFE"/>
            <w:vAlign w:val="center"/>
          </w:tcPr>
          <w:p>
            <w:pPr>
              <w:spacing w:after="0"/>
            </w:pPr>
            <w:r/>
            <w:r>
              <w:rPr>
                <w:b/>
                <w:i w:val="0"/>
                <w:color w:val="000000"/>
                <w:sz w:val="14"/>
                <w:highlight w:val="yellow"/>
              </w:rPr>
              <w:t>{aum_fum_schedule_reference}</w:t>
            </w:r>
          </w:p>
        </w:tc>
      </w:tr>
      <w:tr>
        <w:tc>
          <w:tcPr>
            <w:tcW w:type="dxa" w:w="2664"/>
            <w:vAlign w:val="center"/>
          </w:tcPr>
          <w:p>
            <w:pPr>
              <w:spacing w:after="0"/>
            </w:pPr>
            <w:r/>
            <w:r>
              <w:rPr>
                <w:b w:val="0"/>
                <w:i w:val="0"/>
                <w:sz w:val="14"/>
              </w:rPr>
              <w:t>Operational risk component</w:t>
            </w:r>
          </w:p>
        </w:tc>
        <w:tc>
          <w:tcPr>
            <w:tcW w:type="dxa" w:w="2664"/>
            <w:vAlign w:val="center"/>
          </w:tcPr>
          <w:p>
            <w:pPr>
              <w:spacing w:after="0"/>
            </w:pPr>
            <w:r/>
            <w:r>
              <w:rPr>
                <w:b/>
                <w:i w:val="0"/>
                <w:color w:val="000000"/>
                <w:sz w:val="14"/>
                <w:highlight w:val="yellow"/>
              </w:rPr>
              <w:t>{operational_risk_formula}</w:t>
            </w:r>
          </w:p>
        </w:tc>
        <w:tc>
          <w:tcPr>
            <w:tcW w:type="dxa" w:w="2664"/>
            <w:vAlign w:val="center"/>
          </w:tcPr>
          <w:p>
            <w:pPr>
              <w:spacing w:after="0"/>
            </w:pPr>
            <w:r/>
            <w:r>
              <w:rPr>
                <w:b/>
                <w:i w:val="0"/>
                <w:color w:val="000000"/>
                <w:sz w:val="14"/>
                <w:highlight w:val="yellow"/>
              </w:rPr>
              <w:t>{operational_risk_requirement}</w:t>
            </w:r>
          </w:p>
        </w:tc>
        <w:tc>
          <w:tcPr>
            <w:tcW w:type="dxa" w:w="2664"/>
            <w:vAlign w:val="center"/>
          </w:tcPr>
          <w:p>
            <w:pPr>
              <w:spacing w:after="0"/>
            </w:pPr>
            <w:r/>
            <w:r>
              <w:rPr>
                <w:b/>
                <w:i w:val="0"/>
                <w:color w:val="000000"/>
                <w:sz w:val="14"/>
                <w:highlight w:val="yellow"/>
              </w:rPr>
              <w:t>{operational_risk_reference}</w:t>
            </w:r>
          </w:p>
        </w:tc>
      </w:tr>
      <w:tr>
        <w:tc>
          <w:tcPr>
            <w:tcW w:type="dxa" w:w="2664"/>
            <w:shd w:fill="F8FBFE"/>
            <w:vAlign w:val="center"/>
          </w:tcPr>
          <w:p>
            <w:pPr>
              <w:spacing w:after="0"/>
            </w:pPr>
            <w:r/>
            <w:r>
              <w:rPr>
                <w:b w:val="0"/>
                <w:i w:val="0"/>
                <w:sz w:val="14"/>
              </w:rPr>
              <w:t>Market risk / position risk component</w:t>
            </w:r>
          </w:p>
        </w:tc>
        <w:tc>
          <w:tcPr>
            <w:tcW w:type="dxa" w:w="2664"/>
            <w:shd w:fill="F8FBFE"/>
            <w:vAlign w:val="center"/>
          </w:tcPr>
          <w:p>
            <w:pPr>
              <w:spacing w:after="0"/>
            </w:pPr>
            <w:r/>
            <w:r>
              <w:rPr>
                <w:b/>
                <w:i w:val="0"/>
                <w:color w:val="000000"/>
                <w:sz w:val="14"/>
                <w:highlight w:val="yellow"/>
              </w:rPr>
              <w:t>{market_risk_formula}</w:t>
            </w:r>
          </w:p>
        </w:tc>
        <w:tc>
          <w:tcPr>
            <w:tcW w:type="dxa" w:w="2664"/>
            <w:shd w:fill="F8FBFE"/>
            <w:vAlign w:val="center"/>
          </w:tcPr>
          <w:p>
            <w:pPr>
              <w:spacing w:after="0"/>
            </w:pPr>
            <w:r/>
            <w:r>
              <w:rPr>
                <w:b/>
                <w:i w:val="0"/>
                <w:color w:val="000000"/>
                <w:sz w:val="14"/>
                <w:highlight w:val="yellow"/>
              </w:rPr>
              <w:t>{market_risk_requirement}</w:t>
            </w:r>
          </w:p>
        </w:tc>
        <w:tc>
          <w:tcPr>
            <w:tcW w:type="dxa" w:w="2664"/>
            <w:shd w:fill="F8FBFE"/>
            <w:vAlign w:val="center"/>
          </w:tcPr>
          <w:p>
            <w:pPr>
              <w:spacing w:after="0"/>
            </w:pPr>
            <w:r/>
            <w:r>
              <w:rPr>
                <w:b/>
                <w:i w:val="0"/>
                <w:color w:val="000000"/>
                <w:sz w:val="14"/>
                <w:highlight w:val="yellow"/>
              </w:rPr>
              <w:t>{market_risk_reference}</w:t>
            </w:r>
          </w:p>
        </w:tc>
      </w:tr>
      <w:tr>
        <w:tc>
          <w:tcPr>
            <w:tcW w:type="dxa" w:w="2664"/>
            <w:vAlign w:val="center"/>
          </w:tcPr>
          <w:p>
            <w:pPr>
              <w:spacing w:after="0"/>
            </w:pPr>
            <w:r/>
            <w:r>
              <w:rPr>
                <w:b w:val="0"/>
                <w:i w:val="0"/>
                <w:sz w:val="14"/>
              </w:rPr>
              <w:t>Credit / counterparty risk component</w:t>
            </w:r>
          </w:p>
        </w:tc>
        <w:tc>
          <w:tcPr>
            <w:tcW w:type="dxa" w:w="2664"/>
            <w:vAlign w:val="center"/>
          </w:tcPr>
          <w:p>
            <w:pPr>
              <w:spacing w:after="0"/>
            </w:pPr>
            <w:r/>
            <w:r>
              <w:rPr>
                <w:b/>
                <w:i w:val="0"/>
                <w:color w:val="000000"/>
                <w:sz w:val="14"/>
                <w:highlight w:val="yellow"/>
              </w:rPr>
              <w:t>{counterparty_risk_formula}</w:t>
            </w:r>
          </w:p>
        </w:tc>
        <w:tc>
          <w:tcPr>
            <w:tcW w:type="dxa" w:w="2664"/>
            <w:vAlign w:val="center"/>
          </w:tcPr>
          <w:p>
            <w:pPr>
              <w:spacing w:after="0"/>
            </w:pPr>
            <w:r/>
            <w:r>
              <w:rPr>
                <w:b/>
                <w:i w:val="0"/>
                <w:color w:val="000000"/>
                <w:sz w:val="14"/>
                <w:highlight w:val="yellow"/>
              </w:rPr>
              <w:t>{counterparty_risk_requirement}</w:t>
            </w:r>
          </w:p>
        </w:tc>
        <w:tc>
          <w:tcPr>
            <w:tcW w:type="dxa" w:w="2664"/>
            <w:vAlign w:val="center"/>
          </w:tcPr>
          <w:p>
            <w:pPr>
              <w:spacing w:after="0"/>
            </w:pPr>
            <w:r/>
            <w:r>
              <w:rPr>
                <w:b/>
                <w:i w:val="0"/>
                <w:color w:val="000000"/>
                <w:sz w:val="14"/>
                <w:highlight w:val="yellow"/>
              </w:rPr>
              <w:t>{counterparty_risk_reference}</w:t>
            </w:r>
          </w:p>
        </w:tc>
      </w:tr>
      <w:tr>
        <w:tc>
          <w:tcPr>
            <w:tcW w:type="dxa" w:w="2664"/>
            <w:shd w:fill="F8FBFE"/>
            <w:vAlign w:val="center"/>
          </w:tcPr>
          <w:p>
            <w:pPr>
              <w:spacing w:after="0"/>
            </w:pPr>
            <w:r/>
            <w:r>
              <w:rPr>
                <w:b w:val="0"/>
                <w:i w:val="0"/>
                <w:sz w:val="14"/>
              </w:rPr>
              <w:t>Settlement / custody risk component</w:t>
            </w:r>
          </w:p>
        </w:tc>
        <w:tc>
          <w:tcPr>
            <w:tcW w:type="dxa" w:w="2664"/>
            <w:shd w:fill="F8FBFE"/>
            <w:vAlign w:val="center"/>
          </w:tcPr>
          <w:p>
            <w:pPr>
              <w:spacing w:after="0"/>
            </w:pPr>
            <w:r/>
            <w:r>
              <w:rPr>
                <w:b/>
                <w:i w:val="0"/>
                <w:color w:val="000000"/>
                <w:sz w:val="14"/>
                <w:highlight w:val="yellow"/>
              </w:rPr>
              <w:t>{settlement_custody_formula}</w:t>
            </w:r>
          </w:p>
        </w:tc>
        <w:tc>
          <w:tcPr>
            <w:tcW w:type="dxa" w:w="2664"/>
            <w:shd w:fill="F8FBFE"/>
            <w:vAlign w:val="center"/>
          </w:tcPr>
          <w:p>
            <w:pPr>
              <w:spacing w:after="0"/>
            </w:pPr>
            <w:r/>
            <w:r>
              <w:rPr>
                <w:b/>
                <w:i w:val="0"/>
                <w:color w:val="000000"/>
                <w:sz w:val="14"/>
                <w:highlight w:val="yellow"/>
              </w:rPr>
              <w:t>{settlement_custody_requirement}</w:t>
            </w:r>
          </w:p>
        </w:tc>
        <w:tc>
          <w:tcPr>
            <w:tcW w:type="dxa" w:w="2664"/>
            <w:shd w:fill="F8FBFE"/>
            <w:vAlign w:val="center"/>
          </w:tcPr>
          <w:p>
            <w:pPr>
              <w:spacing w:after="0"/>
            </w:pPr>
            <w:r/>
            <w:r>
              <w:rPr>
                <w:b/>
                <w:i w:val="0"/>
                <w:color w:val="000000"/>
                <w:sz w:val="14"/>
                <w:highlight w:val="yellow"/>
              </w:rPr>
              <w:t>{settlement_custody_reference}</w:t>
            </w:r>
          </w:p>
        </w:tc>
      </w:tr>
      <w:tr>
        <w:tc>
          <w:tcPr>
            <w:tcW w:type="dxa" w:w="2664"/>
            <w:vAlign w:val="center"/>
          </w:tcPr>
          <w:p>
            <w:pPr>
              <w:spacing w:after="0"/>
            </w:pPr>
            <w:r/>
            <w:r>
              <w:rPr>
                <w:b w:val="0"/>
                <w:i w:val="0"/>
                <w:sz w:val="14"/>
              </w:rPr>
              <w:t>Other regulatory add-ons</w:t>
            </w:r>
          </w:p>
        </w:tc>
        <w:tc>
          <w:tcPr>
            <w:tcW w:type="dxa" w:w="2664"/>
            <w:vAlign w:val="center"/>
          </w:tcPr>
          <w:p>
            <w:pPr>
              <w:spacing w:after="0"/>
            </w:pPr>
            <w:r/>
            <w:r>
              <w:rPr>
                <w:b/>
                <w:i w:val="0"/>
                <w:color w:val="000000"/>
                <w:sz w:val="14"/>
                <w:highlight w:val="yellow"/>
              </w:rPr>
              <w:t>{other_add_on_basis}</w:t>
            </w:r>
          </w:p>
        </w:tc>
        <w:tc>
          <w:tcPr>
            <w:tcW w:type="dxa" w:w="2664"/>
            <w:vAlign w:val="center"/>
          </w:tcPr>
          <w:p>
            <w:pPr>
              <w:spacing w:after="0"/>
            </w:pPr>
            <w:r/>
            <w:r>
              <w:rPr>
                <w:b/>
                <w:i w:val="0"/>
                <w:color w:val="000000"/>
                <w:sz w:val="14"/>
                <w:highlight w:val="yellow"/>
              </w:rPr>
              <w:t>{other_regulatory_add_ons}</w:t>
            </w:r>
          </w:p>
        </w:tc>
        <w:tc>
          <w:tcPr>
            <w:tcW w:type="dxa" w:w="2664"/>
            <w:vAlign w:val="center"/>
          </w:tcPr>
          <w:p>
            <w:pPr>
              <w:spacing w:after="0"/>
            </w:pPr>
            <w:r/>
            <w:r>
              <w:rPr>
                <w:b/>
                <w:i w:val="0"/>
                <w:color w:val="000000"/>
                <w:sz w:val="14"/>
                <w:highlight w:val="yellow"/>
              </w:rPr>
              <w:t>{other_add_on_reference}</w:t>
            </w:r>
          </w:p>
        </w:tc>
      </w:tr>
      <w:tr>
        <w:tc>
          <w:tcPr>
            <w:tcW w:type="dxa" w:w="2664"/>
            <w:shd w:fill="F8FBFE"/>
            <w:vAlign w:val="center"/>
          </w:tcPr>
          <w:p>
            <w:pPr>
              <w:spacing w:after="0"/>
            </w:pPr>
            <w:r/>
            <w:r>
              <w:rPr>
                <w:b w:val="0"/>
                <w:i w:val="0"/>
                <w:sz w:val="14"/>
              </w:rPr>
              <w:t>Total Capital Requirement</w:t>
            </w:r>
          </w:p>
        </w:tc>
        <w:tc>
          <w:tcPr>
            <w:tcW w:type="dxa" w:w="2664"/>
            <w:shd w:fill="F8FBFE"/>
            <w:vAlign w:val="center"/>
          </w:tcPr>
          <w:p>
            <w:pPr>
              <w:spacing w:after="0"/>
            </w:pPr>
            <w:r/>
            <w:r>
              <w:rPr>
                <w:b w:val="0"/>
                <w:i w:val="0"/>
                <w:sz w:val="14"/>
              </w:rPr>
              <w:t>Sum of applicable components</w:t>
            </w:r>
          </w:p>
        </w:tc>
        <w:tc>
          <w:tcPr>
            <w:tcW w:type="dxa" w:w="2664"/>
            <w:shd w:fill="F8FBFE"/>
            <w:vAlign w:val="center"/>
          </w:tcPr>
          <w:p>
            <w:pPr>
              <w:spacing w:after="0"/>
            </w:pPr>
            <w:r/>
            <w:r>
              <w:rPr>
                <w:b/>
                <w:i w:val="0"/>
                <w:color w:val="000000"/>
                <w:sz w:val="14"/>
                <w:highlight w:val="yellow"/>
              </w:rPr>
              <w:t>{total_capital_requirement}</w:t>
            </w:r>
          </w:p>
        </w:tc>
        <w:tc>
          <w:tcPr>
            <w:tcW w:type="dxa" w:w="2664"/>
            <w:shd w:fill="F8FBFE"/>
            <w:vAlign w:val="center"/>
          </w:tcPr>
          <w:p>
            <w:pPr>
              <w:spacing w:after="0"/>
            </w:pPr>
            <w:r/>
            <w:r>
              <w:rPr>
                <w:b/>
                <w:i w:val="0"/>
                <w:color w:val="000000"/>
                <w:sz w:val="14"/>
                <w:highlight w:val="yellow"/>
              </w:rPr>
              <w:t>{tcr_working_paper_reference}</w:t>
            </w:r>
          </w:p>
        </w:tc>
      </w:tr>
    </w:tbl>
    <w:p>
      <w:pPr>
        <w:spacing w:after="80" w:line="240" w:lineRule="auto"/>
      </w:pPr>
    </w:p>
    <w:p>
      <w:pPr>
        <w:spacing w:before="200" w:after="120" w:line="240" w:lineRule="auto"/>
        <w:pBdr>
          <w:bottom w:val="single" w:sz="8" w:space="4" w:color="1E88E5"/>
        </w:pBdr>
      </w:pPr>
      <w:r>
        <w:rPr>
          <w:b/>
          <w:color w:val="071827"/>
          <w:sz w:val="28"/>
        </w:rPr>
        <w:t>6. Capital Adequacy Ratio, Buffer and Sensitivity</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Item</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Formula / Basis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Result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Comment</w:t>
            </w:r>
          </w:p>
        </w:tc>
      </w:tr>
      <w:tr>
        <w:tc>
          <w:tcPr>
            <w:tcW w:type="dxa" w:w="2664"/>
            <w:shd w:fill="F8FBFE"/>
            <w:vAlign w:val="center"/>
          </w:tcPr>
          <w:p>
            <w:pPr>
              <w:spacing w:after="0"/>
            </w:pPr>
            <w:r/>
            <w:r>
              <w:rPr>
                <w:b w:val="0"/>
                <w:i w:val="0"/>
                <w:sz w:val="15"/>
              </w:rPr>
              <w:t>Capital Adequacy Ratio</w:t>
            </w:r>
          </w:p>
        </w:tc>
        <w:tc>
          <w:tcPr>
            <w:tcW w:type="dxa" w:w="2664"/>
            <w:shd w:fill="F8FBFE"/>
            <w:vAlign w:val="center"/>
          </w:tcPr>
          <w:p>
            <w:pPr>
              <w:spacing w:after="0"/>
            </w:pPr>
            <w:r/>
            <w:r>
              <w:rPr>
                <w:b/>
                <w:i w:val="0"/>
                <w:color w:val="000000"/>
                <w:sz w:val="15"/>
                <w:highlight w:val="yellow"/>
              </w:rPr>
              <w:t>{adjusted_liquid_capital}</w:t>
            </w:r>
            <w:r>
              <w:rPr>
                <w:b w:val="0"/>
                <w:i w:val="0"/>
                <w:sz w:val="15"/>
              </w:rPr>
              <w:t xml:space="preserve"> / </w:t>
            </w:r>
            <w:r>
              <w:rPr>
                <w:b/>
                <w:i w:val="0"/>
                <w:color w:val="000000"/>
                <w:sz w:val="15"/>
                <w:highlight w:val="yellow"/>
              </w:rPr>
              <w:t>{total_capital_requirement}</w:t>
            </w:r>
          </w:p>
        </w:tc>
        <w:tc>
          <w:tcPr>
            <w:tcW w:type="dxa" w:w="2664"/>
            <w:shd w:fill="F8FBFE"/>
            <w:vAlign w:val="center"/>
          </w:tcPr>
          <w:p>
            <w:pPr>
              <w:spacing w:after="0"/>
            </w:pPr>
            <w:r/>
            <w:r>
              <w:rPr>
                <w:b/>
                <w:i w:val="0"/>
                <w:color w:val="000000"/>
                <w:sz w:val="15"/>
                <w:highlight w:val="yellow"/>
              </w:rPr>
              <w:t>{capital_adequacy_ratio}</w:t>
            </w:r>
            <w:r>
              <w:rPr>
                <w:b w:val="0"/>
                <w:i w:val="0"/>
                <w:sz w:val="15"/>
              </w:rPr>
              <w:t>%</w:t>
            </w:r>
          </w:p>
        </w:tc>
        <w:tc>
          <w:tcPr>
            <w:tcW w:type="dxa" w:w="2664"/>
            <w:shd w:fill="F8FBFE"/>
            <w:vAlign w:val="center"/>
          </w:tcPr>
          <w:p>
            <w:pPr>
              <w:spacing w:after="0"/>
            </w:pPr>
            <w:r/>
            <w:r>
              <w:rPr>
                <w:b/>
                <w:i w:val="0"/>
                <w:color w:val="000000"/>
                <w:sz w:val="15"/>
                <w:highlight w:val="yellow"/>
              </w:rPr>
              <w:t>{car_comment}</w:t>
            </w:r>
          </w:p>
        </w:tc>
      </w:tr>
      <w:tr>
        <w:tc>
          <w:tcPr>
            <w:tcW w:type="dxa" w:w="2664"/>
            <w:vAlign w:val="center"/>
          </w:tcPr>
          <w:p>
            <w:pPr>
              <w:spacing w:after="0"/>
            </w:pPr>
            <w:r/>
            <w:r>
              <w:rPr>
                <w:b w:val="0"/>
                <w:i w:val="0"/>
                <w:sz w:val="15"/>
              </w:rPr>
              <w:t>Absolute Capital Buffer / Shortfall</w:t>
            </w:r>
          </w:p>
        </w:tc>
        <w:tc>
          <w:tcPr>
            <w:tcW w:type="dxa" w:w="2664"/>
            <w:vAlign w:val="center"/>
          </w:tcPr>
          <w:p>
            <w:pPr>
              <w:spacing w:after="0"/>
            </w:pPr>
            <w:r/>
            <w:r>
              <w:rPr>
                <w:b/>
                <w:i w:val="0"/>
                <w:color w:val="000000"/>
                <w:sz w:val="15"/>
                <w:highlight w:val="yellow"/>
              </w:rPr>
              <w:t>{adjusted_liquid_capital}</w:t>
            </w:r>
            <w:r>
              <w:rPr>
                <w:b w:val="0"/>
                <w:i w:val="0"/>
                <w:sz w:val="15"/>
              </w:rPr>
              <w:t xml:space="preserve"> - </w:t>
            </w:r>
            <w:r>
              <w:rPr>
                <w:b/>
                <w:i w:val="0"/>
                <w:color w:val="000000"/>
                <w:sz w:val="15"/>
                <w:highlight w:val="yellow"/>
              </w:rPr>
              <w:t>{total_capital_requirement}</w:t>
            </w:r>
          </w:p>
        </w:tc>
        <w:tc>
          <w:tcPr>
            <w:tcW w:type="dxa" w:w="2664"/>
            <w:vAlign w:val="center"/>
          </w:tcPr>
          <w:p>
            <w:pPr>
              <w:spacing w:after="0"/>
            </w:pPr>
            <w:r/>
            <w:r>
              <w:rPr>
                <w:b/>
                <w:i w:val="0"/>
                <w:color w:val="000000"/>
                <w:sz w:val="15"/>
                <w:highlight w:val="yellow"/>
              </w:rPr>
              <w:t>{capital_buffer_or_shortfall}</w:t>
            </w:r>
          </w:p>
        </w:tc>
        <w:tc>
          <w:tcPr>
            <w:tcW w:type="dxa" w:w="2664"/>
            <w:vAlign w:val="center"/>
          </w:tcPr>
          <w:p>
            <w:pPr>
              <w:spacing w:after="0"/>
            </w:pPr>
            <w:r/>
            <w:r>
              <w:rPr>
                <w:b/>
                <w:i w:val="0"/>
                <w:color w:val="000000"/>
                <w:sz w:val="15"/>
                <w:highlight w:val="yellow"/>
              </w:rPr>
              <w:t>{buffer_comment}</w:t>
            </w:r>
          </w:p>
        </w:tc>
      </w:tr>
      <w:tr>
        <w:tc>
          <w:tcPr>
            <w:tcW w:type="dxa" w:w="2664"/>
            <w:shd w:fill="F8FBFE"/>
            <w:vAlign w:val="center"/>
          </w:tcPr>
          <w:p>
            <w:pPr>
              <w:spacing w:after="0"/>
            </w:pPr>
            <w:r/>
            <w:r>
              <w:rPr>
                <w:b w:val="0"/>
                <w:i w:val="0"/>
                <w:sz w:val="15"/>
              </w:rPr>
              <w:t>Percentage Headroom / Deficit</w:t>
            </w:r>
          </w:p>
        </w:tc>
        <w:tc>
          <w:tcPr>
            <w:tcW w:type="dxa" w:w="2664"/>
            <w:shd w:fill="F8FBFE"/>
            <w:vAlign w:val="center"/>
          </w:tcPr>
          <w:p>
            <w:pPr>
              <w:spacing w:after="0"/>
            </w:pPr>
            <w:r/>
            <w:r>
              <w:rPr>
                <w:b w:val="0"/>
                <w:i w:val="0"/>
                <w:sz w:val="15"/>
              </w:rPr>
              <w:t>Current ratio less required threshold</w:t>
            </w:r>
          </w:p>
        </w:tc>
        <w:tc>
          <w:tcPr>
            <w:tcW w:type="dxa" w:w="2664"/>
            <w:shd w:fill="F8FBFE"/>
            <w:vAlign w:val="center"/>
          </w:tcPr>
          <w:p>
            <w:pPr>
              <w:spacing w:after="0"/>
            </w:pPr>
            <w:r/>
            <w:r>
              <w:rPr>
                <w:b/>
                <w:i w:val="0"/>
                <w:color w:val="000000"/>
                <w:sz w:val="15"/>
                <w:highlight w:val="yellow"/>
              </w:rPr>
              <w:t>{percentage_headroom_or_deficit}</w:t>
            </w:r>
            <w:r>
              <w:rPr>
                <w:b w:val="0"/>
                <w:i w:val="0"/>
                <w:sz w:val="15"/>
              </w:rPr>
              <w:t>%</w:t>
            </w:r>
          </w:p>
        </w:tc>
        <w:tc>
          <w:tcPr>
            <w:tcW w:type="dxa" w:w="2664"/>
            <w:shd w:fill="F8FBFE"/>
            <w:vAlign w:val="center"/>
          </w:tcPr>
          <w:p>
            <w:pPr>
              <w:spacing w:after="0"/>
            </w:pPr>
            <w:r/>
            <w:r>
              <w:rPr>
                <w:b/>
                <w:i w:val="0"/>
                <w:color w:val="000000"/>
                <w:sz w:val="15"/>
                <w:highlight w:val="yellow"/>
              </w:rPr>
              <w:t>{headroom_comment}</w:t>
            </w:r>
          </w:p>
        </w:tc>
      </w:tr>
      <w:tr>
        <w:tc>
          <w:tcPr>
            <w:tcW w:type="dxa" w:w="2664"/>
            <w:vAlign w:val="center"/>
          </w:tcPr>
          <w:p>
            <w:pPr>
              <w:spacing w:after="0"/>
            </w:pPr>
            <w:r/>
            <w:r>
              <w:rPr>
                <w:b w:val="0"/>
                <w:i w:val="0"/>
                <w:sz w:val="15"/>
              </w:rPr>
              <w:t xml:space="preserve">Stress Case 1: </w:t>
            </w:r>
            <w:r>
              <w:rPr>
                <w:b/>
                <w:i w:val="0"/>
                <w:color w:val="000000"/>
                <w:sz w:val="15"/>
                <w:highlight w:val="yellow"/>
              </w:rPr>
              <w:t>{stress_case_1_name}</w:t>
            </w:r>
          </w:p>
        </w:tc>
        <w:tc>
          <w:tcPr>
            <w:tcW w:type="dxa" w:w="2664"/>
            <w:vAlign w:val="center"/>
          </w:tcPr>
          <w:p>
            <w:pPr>
              <w:spacing w:after="0"/>
            </w:pPr>
            <w:r/>
            <w:r>
              <w:rPr>
                <w:b/>
                <w:i w:val="0"/>
                <w:color w:val="000000"/>
                <w:sz w:val="15"/>
                <w:highlight w:val="yellow"/>
              </w:rPr>
              <w:t>{stress_case_1_assumption}</w:t>
            </w:r>
          </w:p>
        </w:tc>
        <w:tc>
          <w:tcPr>
            <w:tcW w:type="dxa" w:w="2664"/>
            <w:vAlign w:val="center"/>
          </w:tcPr>
          <w:p>
            <w:pPr>
              <w:spacing w:after="0"/>
            </w:pPr>
            <w:r/>
            <w:r>
              <w:rPr>
                <w:b/>
                <w:i w:val="0"/>
                <w:color w:val="000000"/>
                <w:sz w:val="15"/>
                <w:highlight w:val="yellow"/>
              </w:rPr>
              <w:t>{stress_case_1_result}</w:t>
            </w:r>
          </w:p>
        </w:tc>
        <w:tc>
          <w:tcPr>
            <w:tcW w:type="dxa" w:w="2664"/>
            <w:vAlign w:val="center"/>
          </w:tcPr>
          <w:p>
            <w:pPr>
              <w:spacing w:after="0"/>
            </w:pPr>
            <w:r/>
            <w:r>
              <w:rPr>
                <w:b/>
                <w:i w:val="0"/>
                <w:color w:val="000000"/>
                <w:sz w:val="15"/>
                <w:highlight w:val="yellow"/>
              </w:rPr>
              <w:t>{stress_case_1_comment}</w:t>
            </w:r>
          </w:p>
        </w:tc>
      </w:tr>
      <w:tr>
        <w:tc>
          <w:tcPr>
            <w:tcW w:type="dxa" w:w="2664"/>
            <w:shd w:fill="F8FBFE"/>
            <w:vAlign w:val="center"/>
          </w:tcPr>
          <w:p>
            <w:pPr>
              <w:spacing w:after="0"/>
            </w:pPr>
            <w:r/>
            <w:r>
              <w:rPr>
                <w:b w:val="0"/>
                <w:i w:val="0"/>
                <w:sz w:val="15"/>
              </w:rPr>
              <w:t xml:space="preserve">Stress Case 2: </w:t>
            </w:r>
            <w:r>
              <w:rPr>
                <w:b/>
                <w:i w:val="0"/>
                <w:color w:val="000000"/>
                <w:sz w:val="15"/>
                <w:highlight w:val="yellow"/>
              </w:rPr>
              <w:t>{stress_case_2_name}</w:t>
            </w:r>
          </w:p>
        </w:tc>
        <w:tc>
          <w:tcPr>
            <w:tcW w:type="dxa" w:w="2664"/>
            <w:shd w:fill="F8FBFE"/>
            <w:vAlign w:val="center"/>
          </w:tcPr>
          <w:p>
            <w:pPr>
              <w:spacing w:after="0"/>
            </w:pPr>
            <w:r/>
            <w:r>
              <w:rPr>
                <w:b/>
                <w:i w:val="0"/>
                <w:color w:val="000000"/>
                <w:sz w:val="15"/>
                <w:highlight w:val="yellow"/>
              </w:rPr>
              <w:t>{stress_case_2_assumption}</w:t>
            </w:r>
          </w:p>
        </w:tc>
        <w:tc>
          <w:tcPr>
            <w:tcW w:type="dxa" w:w="2664"/>
            <w:shd w:fill="F8FBFE"/>
            <w:vAlign w:val="center"/>
          </w:tcPr>
          <w:p>
            <w:pPr>
              <w:spacing w:after="0"/>
            </w:pPr>
            <w:r/>
            <w:r>
              <w:rPr>
                <w:b/>
                <w:i w:val="0"/>
                <w:color w:val="000000"/>
                <w:sz w:val="15"/>
                <w:highlight w:val="yellow"/>
              </w:rPr>
              <w:t>{stress_case_2_result}</w:t>
            </w:r>
          </w:p>
        </w:tc>
        <w:tc>
          <w:tcPr>
            <w:tcW w:type="dxa" w:w="2664"/>
            <w:shd w:fill="F8FBFE"/>
            <w:vAlign w:val="center"/>
          </w:tcPr>
          <w:p>
            <w:pPr>
              <w:spacing w:after="0"/>
            </w:pPr>
            <w:r/>
            <w:r>
              <w:rPr>
                <w:b/>
                <w:i w:val="0"/>
                <w:color w:val="000000"/>
                <w:sz w:val="15"/>
                <w:highlight w:val="yellow"/>
              </w:rPr>
              <w:t>{stress_case_2_comment}</w:t>
            </w:r>
          </w:p>
        </w:tc>
      </w:tr>
      <w:tr>
        <w:tc>
          <w:tcPr>
            <w:tcW w:type="dxa" w:w="2664"/>
            <w:vAlign w:val="center"/>
          </w:tcPr>
          <w:p>
            <w:pPr>
              <w:spacing w:after="0"/>
            </w:pPr>
            <w:r/>
            <w:r>
              <w:rPr>
                <w:b w:val="0"/>
                <w:i w:val="0"/>
                <w:sz w:val="15"/>
              </w:rPr>
              <w:t>Management Trigger Level</w:t>
            </w:r>
          </w:p>
        </w:tc>
        <w:tc>
          <w:tcPr>
            <w:tcW w:type="dxa" w:w="2664"/>
            <w:vAlign w:val="center"/>
          </w:tcPr>
          <w:p>
            <w:pPr>
              <w:spacing w:after="0"/>
            </w:pPr>
            <w:r/>
            <w:r>
              <w:rPr>
                <w:b/>
                <w:i w:val="0"/>
                <w:color w:val="000000"/>
                <w:sz w:val="15"/>
                <w:highlight w:val="yellow"/>
              </w:rPr>
              <w:t>{internal_trigger_level_basis}</w:t>
            </w:r>
          </w:p>
        </w:tc>
        <w:tc>
          <w:tcPr>
            <w:tcW w:type="dxa" w:w="2664"/>
            <w:vAlign w:val="center"/>
          </w:tcPr>
          <w:p>
            <w:pPr>
              <w:spacing w:after="0"/>
            </w:pPr>
            <w:r/>
            <w:r>
              <w:rPr>
                <w:b/>
                <w:i w:val="0"/>
                <w:color w:val="000000"/>
                <w:sz w:val="15"/>
                <w:highlight w:val="yellow"/>
              </w:rPr>
              <w:t>{internal_trigger_level_result}</w:t>
            </w:r>
          </w:p>
        </w:tc>
        <w:tc>
          <w:tcPr>
            <w:tcW w:type="dxa" w:w="2664"/>
            <w:vAlign w:val="center"/>
          </w:tcPr>
          <w:p>
            <w:pPr>
              <w:spacing w:after="0"/>
            </w:pPr>
            <w:r/>
            <w:r>
              <w:rPr>
                <w:b/>
                <w:i w:val="0"/>
                <w:color w:val="000000"/>
                <w:sz w:val="15"/>
                <w:highlight w:val="yellow"/>
              </w:rPr>
              <w:t>{management_trigger_comment}</w:t>
            </w:r>
          </w:p>
        </w:tc>
      </w:tr>
    </w:tbl>
    <w:p>
      <w:pPr>
        <w:spacing w:after="80" w:line="240" w:lineRule="auto"/>
      </w:pPr>
    </w:p>
    <w:p>
      <w:pPr>
        <w:spacing w:before="200" w:after="120" w:line="240" w:lineRule="auto"/>
        <w:pBdr>
          <w:bottom w:val="single" w:sz="8" w:space="4" w:color="1E88E5"/>
        </w:pBdr>
      </w:pPr>
      <w:r>
        <w:rPr>
          <w:b/>
          <w:color w:val="071827"/>
          <w:sz w:val="28"/>
        </w:rPr>
        <w:t>7. Financial Position and Profit/Loss Support</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Reconcile this section to approved management accounts and the prudential return pack. Do not type over accounting numbers in this report; correct the source ledger where differences exist.</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Statement Line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Current Period</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Prior Period</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Variance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 Comment</w:t>
            </w:r>
          </w:p>
        </w:tc>
      </w:tr>
      <w:tr>
        <w:tc>
          <w:tcPr>
            <w:tcW w:type="dxa" w:w="2131"/>
            <w:shd w:fill="F8FBFE"/>
            <w:vAlign w:val="center"/>
          </w:tcPr>
          <w:p>
            <w:pPr>
              <w:spacing w:after="0"/>
            </w:pPr>
            <w:r/>
            <w:r>
              <w:rPr>
                <w:b w:val="0"/>
                <w:i w:val="0"/>
                <w:sz w:val="14"/>
              </w:rPr>
              <w:t>Total assets</w:t>
            </w:r>
          </w:p>
        </w:tc>
        <w:tc>
          <w:tcPr>
            <w:tcW w:type="dxa" w:w="2131"/>
            <w:shd w:fill="F8FBFE"/>
            <w:vAlign w:val="center"/>
          </w:tcPr>
          <w:p>
            <w:pPr>
              <w:spacing w:after="0"/>
            </w:pPr>
            <w:r/>
            <w:r>
              <w:rPr>
                <w:b/>
                <w:i w:val="0"/>
                <w:color w:val="000000"/>
                <w:sz w:val="14"/>
                <w:highlight w:val="yellow"/>
              </w:rPr>
              <w:t>{total_assets_current}</w:t>
            </w:r>
          </w:p>
        </w:tc>
        <w:tc>
          <w:tcPr>
            <w:tcW w:type="dxa" w:w="2131"/>
            <w:shd w:fill="F8FBFE"/>
            <w:vAlign w:val="center"/>
          </w:tcPr>
          <w:p>
            <w:pPr>
              <w:spacing w:after="0"/>
            </w:pPr>
            <w:r/>
            <w:r>
              <w:rPr>
                <w:b/>
                <w:i w:val="0"/>
                <w:color w:val="000000"/>
                <w:sz w:val="14"/>
                <w:highlight w:val="yellow"/>
              </w:rPr>
              <w:t>{total_assets_prior}</w:t>
            </w:r>
          </w:p>
        </w:tc>
        <w:tc>
          <w:tcPr>
            <w:tcW w:type="dxa" w:w="2131"/>
            <w:shd w:fill="F8FBFE"/>
            <w:vAlign w:val="center"/>
          </w:tcPr>
          <w:p>
            <w:pPr>
              <w:spacing w:after="0"/>
            </w:pPr>
            <w:r/>
            <w:r>
              <w:rPr>
                <w:b/>
                <w:i w:val="0"/>
                <w:color w:val="000000"/>
                <w:sz w:val="14"/>
                <w:highlight w:val="yellow"/>
              </w:rPr>
              <w:t>{total_assets_variance}</w:t>
            </w:r>
          </w:p>
        </w:tc>
        <w:tc>
          <w:tcPr>
            <w:tcW w:type="dxa" w:w="2131"/>
            <w:shd w:fill="F8FBFE"/>
            <w:vAlign w:val="center"/>
          </w:tcPr>
          <w:p>
            <w:pPr>
              <w:spacing w:after="0"/>
            </w:pPr>
            <w:r/>
            <w:r>
              <w:rPr>
                <w:b/>
                <w:i w:val="0"/>
                <w:color w:val="000000"/>
                <w:sz w:val="14"/>
                <w:highlight w:val="yellow"/>
              </w:rPr>
              <w:t>{total_assets_comment}</w:t>
            </w:r>
          </w:p>
        </w:tc>
      </w:tr>
      <w:tr>
        <w:tc>
          <w:tcPr>
            <w:tcW w:type="dxa" w:w="2131"/>
            <w:vAlign w:val="center"/>
          </w:tcPr>
          <w:p>
            <w:pPr>
              <w:spacing w:after="0"/>
            </w:pPr>
            <w:r/>
            <w:r>
              <w:rPr>
                <w:b w:val="0"/>
                <w:i w:val="0"/>
                <w:sz w:val="14"/>
              </w:rPr>
              <w:t>Total liabilities</w:t>
            </w:r>
          </w:p>
        </w:tc>
        <w:tc>
          <w:tcPr>
            <w:tcW w:type="dxa" w:w="2131"/>
            <w:vAlign w:val="center"/>
          </w:tcPr>
          <w:p>
            <w:pPr>
              <w:spacing w:after="0"/>
            </w:pPr>
            <w:r/>
            <w:r>
              <w:rPr>
                <w:b/>
                <w:i w:val="0"/>
                <w:color w:val="000000"/>
                <w:sz w:val="14"/>
                <w:highlight w:val="yellow"/>
              </w:rPr>
              <w:t>{total_liabilities_current}</w:t>
            </w:r>
          </w:p>
        </w:tc>
        <w:tc>
          <w:tcPr>
            <w:tcW w:type="dxa" w:w="2131"/>
            <w:vAlign w:val="center"/>
          </w:tcPr>
          <w:p>
            <w:pPr>
              <w:spacing w:after="0"/>
            </w:pPr>
            <w:r/>
            <w:r>
              <w:rPr>
                <w:b/>
                <w:i w:val="0"/>
                <w:color w:val="000000"/>
                <w:sz w:val="14"/>
                <w:highlight w:val="yellow"/>
              </w:rPr>
              <w:t>{total_liabilities_prior}</w:t>
            </w:r>
          </w:p>
        </w:tc>
        <w:tc>
          <w:tcPr>
            <w:tcW w:type="dxa" w:w="2131"/>
            <w:vAlign w:val="center"/>
          </w:tcPr>
          <w:p>
            <w:pPr>
              <w:spacing w:after="0"/>
            </w:pPr>
            <w:r/>
            <w:r>
              <w:rPr>
                <w:b/>
                <w:i w:val="0"/>
                <w:color w:val="000000"/>
                <w:sz w:val="14"/>
                <w:highlight w:val="yellow"/>
              </w:rPr>
              <w:t>{total_liabilities_variance}</w:t>
            </w:r>
          </w:p>
        </w:tc>
        <w:tc>
          <w:tcPr>
            <w:tcW w:type="dxa" w:w="2131"/>
            <w:vAlign w:val="center"/>
          </w:tcPr>
          <w:p>
            <w:pPr>
              <w:spacing w:after="0"/>
            </w:pPr>
            <w:r/>
            <w:r>
              <w:rPr>
                <w:b/>
                <w:i w:val="0"/>
                <w:color w:val="000000"/>
                <w:sz w:val="14"/>
                <w:highlight w:val="yellow"/>
              </w:rPr>
              <w:t>{total_liabilities_comment}</w:t>
            </w:r>
          </w:p>
        </w:tc>
      </w:tr>
      <w:tr>
        <w:tc>
          <w:tcPr>
            <w:tcW w:type="dxa" w:w="2131"/>
            <w:shd w:fill="F8FBFE"/>
            <w:vAlign w:val="center"/>
          </w:tcPr>
          <w:p>
            <w:pPr>
              <w:spacing w:after="0"/>
            </w:pPr>
            <w:r/>
            <w:r>
              <w:rPr>
                <w:b w:val="0"/>
                <w:i w:val="0"/>
                <w:sz w:val="14"/>
              </w:rPr>
              <w:t>Net assets / equity</w:t>
            </w:r>
          </w:p>
        </w:tc>
        <w:tc>
          <w:tcPr>
            <w:tcW w:type="dxa" w:w="2131"/>
            <w:shd w:fill="F8FBFE"/>
            <w:vAlign w:val="center"/>
          </w:tcPr>
          <w:p>
            <w:pPr>
              <w:spacing w:after="0"/>
            </w:pPr>
            <w:r/>
            <w:r>
              <w:rPr>
                <w:b/>
                <w:i w:val="0"/>
                <w:color w:val="000000"/>
                <w:sz w:val="14"/>
                <w:highlight w:val="yellow"/>
              </w:rPr>
              <w:t>{net_assets_current}</w:t>
            </w:r>
          </w:p>
        </w:tc>
        <w:tc>
          <w:tcPr>
            <w:tcW w:type="dxa" w:w="2131"/>
            <w:shd w:fill="F8FBFE"/>
            <w:vAlign w:val="center"/>
          </w:tcPr>
          <w:p>
            <w:pPr>
              <w:spacing w:after="0"/>
            </w:pPr>
            <w:r/>
            <w:r>
              <w:rPr>
                <w:b/>
                <w:i w:val="0"/>
                <w:color w:val="000000"/>
                <w:sz w:val="14"/>
                <w:highlight w:val="yellow"/>
              </w:rPr>
              <w:t>{net_assets_prior}</w:t>
            </w:r>
          </w:p>
        </w:tc>
        <w:tc>
          <w:tcPr>
            <w:tcW w:type="dxa" w:w="2131"/>
            <w:shd w:fill="F8FBFE"/>
            <w:vAlign w:val="center"/>
          </w:tcPr>
          <w:p>
            <w:pPr>
              <w:spacing w:after="0"/>
            </w:pPr>
            <w:r/>
            <w:r>
              <w:rPr>
                <w:b/>
                <w:i w:val="0"/>
                <w:color w:val="000000"/>
                <w:sz w:val="14"/>
                <w:highlight w:val="yellow"/>
              </w:rPr>
              <w:t>{net_assets_variance}</w:t>
            </w:r>
          </w:p>
        </w:tc>
        <w:tc>
          <w:tcPr>
            <w:tcW w:type="dxa" w:w="2131"/>
            <w:shd w:fill="F8FBFE"/>
            <w:vAlign w:val="center"/>
          </w:tcPr>
          <w:p>
            <w:pPr>
              <w:spacing w:after="0"/>
            </w:pPr>
            <w:r/>
            <w:r>
              <w:rPr>
                <w:b/>
                <w:i w:val="0"/>
                <w:color w:val="000000"/>
                <w:sz w:val="14"/>
                <w:highlight w:val="yellow"/>
              </w:rPr>
              <w:t>{net_assets_comment}</w:t>
            </w:r>
          </w:p>
        </w:tc>
      </w:tr>
      <w:tr>
        <w:tc>
          <w:tcPr>
            <w:tcW w:type="dxa" w:w="2131"/>
            <w:vAlign w:val="center"/>
          </w:tcPr>
          <w:p>
            <w:pPr>
              <w:spacing w:after="0"/>
            </w:pPr>
            <w:r/>
            <w:r>
              <w:rPr>
                <w:b w:val="0"/>
                <w:i w:val="0"/>
                <w:sz w:val="14"/>
              </w:rPr>
              <w:t>Revenue / management fee income</w:t>
            </w:r>
          </w:p>
        </w:tc>
        <w:tc>
          <w:tcPr>
            <w:tcW w:type="dxa" w:w="2131"/>
            <w:vAlign w:val="center"/>
          </w:tcPr>
          <w:p>
            <w:pPr>
              <w:spacing w:after="0"/>
            </w:pPr>
            <w:r/>
            <w:r>
              <w:rPr>
                <w:b/>
                <w:i w:val="0"/>
                <w:color w:val="000000"/>
                <w:sz w:val="14"/>
                <w:highlight w:val="yellow"/>
              </w:rPr>
              <w:t>{revenue_current}</w:t>
            </w:r>
          </w:p>
        </w:tc>
        <w:tc>
          <w:tcPr>
            <w:tcW w:type="dxa" w:w="2131"/>
            <w:vAlign w:val="center"/>
          </w:tcPr>
          <w:p>
            <w:pPr>
              <w:spacing w:after="0"/>
            </w:pPr>
            <w:r/>
            <w:r>
              <w:rPr>
                <w:b/>
                <w:i w:val="0"/>
                <w:color w:val="000000"/>
                <w:sz w:val="14"/>
                <w:highlight w:val="yellow"/>
              </w:rPr>
              <w:t>{revenue_prior}</w:t>
            </w:r>
          </w:p>
        </w:tc>
        <w:tc>
          <w:tcPr>
            <w:tcW w:type="dxa" w:w="2131"/>
            <w:vAlign w:val="center"/>
          </w:tcPr>
          <w:p>
            <w:pPr>
              <w:spacing w:after="0"/>
            </w:pPr>
            <w:r/>
            <w:r>
              <w:rPr>
                <w:b/>
                <w:i w:val="0"/>
                <w:color w:val="000000"/>
                <w:sz w:val="14"/>
                <w:highlight w:val="yellow"/>
              </w:rPr>
              <w:t>{revenue_variance}</w:t>
            </w:r>
          </w:p>
        </w:tc>
        <w:tc>
          <w:tcPr>
            <w:tcW w:type="dxa" w:w="2131"/>
            <w:vAlign w:val="center"/>
          </w:tcPr>
          <w:p>
            <w:pPr>
              <w:spacing w:after="0"/>
            </w:pPr>
            <w:r/>
            <w:r>
              <w:rPr>
                <w:b/>
                <w:i w:val="0"/>
                <w:color w:val="000000"/>
                <w:sz w:val="14"/>
                <w:highlight w:val="yellow"/>
              </w:rPr>
              <w:t>{revenue_comment}</w:t>
            </w:r>
          </w:p>
        </w:tc>
      </w:tr>
      <w:tr>
        <w:tc>
          <w:tcPr>
            <w:tcW w:type="dxa" w:w="2131"/>
            <w:shd w:fill="F8FBFE"/>
            <w:vAlign w:val="center"/>
          </w:tcPr>
          <w:p>
            <w:pPr>
              <w:spacing w:after="0"/>
            </w:pPr>
            <w:r/>
            <w:r>
              <w:rPr>
                <w:b w:val="0"/>
                <w:i w:val="0"/>
                <w:sz w:val="14"/>
              </w:rPr>
              <w:t>Operating expenses</w:t>
            </w:r>
          </w:p>
        </w:tc>
        <w:tc>
          <w:tcPr>
            <w:tcW w:type="dxa" w:w="2131"/>
            <w:shd w:fill="F8FBFE"/>
            <w:vAlign w:val="center"/>
          </w:tcPr>
          <w:p>
            <w:pPr>
              <w:spacing w:after="0"/>
            </w:pPr>
            <w:r/>
            <w:r>
              <w:rPr>
                <w:b/>
                <w:i w:val="0"/>
                <w:color w:val="000000"/>
                <w:sz w:val="14"/>
                <w:highlight w:val="yellow"/>
              </w:rPr>
              <w:t>{operating_expenses_current}</w:t>
            </w:r>
          </w:p>
        </w:tc>
        <w:tc>
          <w:tcPr>
            <w:tcW w:type="dxa" w:w="2131"/>
            <w:shd w:fill="F8FBFE"/>
            <w:vAlign w:val="center"/>
          </w:tcPr>
          <w:p>
            <w:pPr>
              <w:spacing w:after="0"/>
            </w:pPr>
            <w:r/>
            <w:r>
              <w:rPr>
                <w:b/>
                <w:i w:val="0"/>
                <w:color w:val="000000"/>
                <w:sz w:val="14"/>
                <w:highlight w:val="yellow"/>
              </w:rPr>
              <w:t>{operating_expenses_prior}</w:t>
            </w:r>
          </w:p>
        </w:tc>
        <w:tc>
          <w:tcPr>
            <w:tcW w:type="dxa" w:w="2131"/>
            <w:shd w:fill="F8FBFE"/>
            <w:vAlign w:val="center"/>
          </w:tcPr>
          <w:p>
            <w:pPr>
              <w:spacing w:after="0"/>
            </w:pPr>
            <w:r/>
            <w:r>
              <w:rPr>
                <w:b/>
                <w:i w:val="0"/>
                <w:color w:val="000000"/>
                <w:sz w:val="14"/>
                <w:highlight w:val="yellow"/>
              </w:rPr>
              <w:t>{operating_expenses_variance}</w:t>
            </w:r>
          </w:p>
        </w:tc>
        <w:tc>
          <w:tcPr>
            <w:tcW w:type="dxa" w:w="2131"/>
            <w:shd w:fill="F8FBFE"/>
            <w:vAlign w:val="center"/>
          </w:tcPr>
          <w:p>
            <w:pPr>
              <w:spacing w:after="0"/>
            </w:pPr>
            <w:r/>
            <w:r>
              <w:rPr>
                <w:b/>
                <w:i w:val="0"/>
                <w:color w:val="000000"/>
                <w:sz w:val="14"/>
                <w:highlight w:val="yellow"/>
              </w:rPr>
              <w:t>{operating_expenses_comment}</w:t>
            </w:r>
          </w:p>
        </w:tc>
      </w:tr>
      <w:tr>
        <w:tc>
          <w:tcPr>
            <w:tcW w:type="dxa" w:w="2131"/>
            <w:vAlign w:val="center"/>
          </w:tcPr>
          <w:p>
            <w:pPr>
              <w:spacing w:after="0"/>
            </w:pPr>
            <w:r/>
            <w:r>
              <w:rPr>
                <w:b w:val="0"/>
                <w:i w:val="0"/>
                <w:sz w:val="14"/>
              </w:rPr>
              <w:t>Profit / loss before tax</w:t>
            </w:r>
          </w:p>
        </w:tc>
        <w:tc>
          <w:tcPr>
            <w:tcW w:type="dxa" w:w="2131"/>
            <w:vAlign w:val="center"/>
          </w:tcPr>
          <w:p>
            <w:pPr>
              <w:spacing w:after="0"/>
            </w:pPr>
            <w:r/>
            <w:r>
              <w:rPr>
                <w:b/>
                <w:i w:val="0"/>
                <w:color w:val="000000"/>
                <w:sz w:val="14"/>
                <w:highlight w:val="yellow"/>
              </w:rPr>
              <w:t>{profit_before_tax_current}</w:t>
            </w:r>
          </w:p>
        </w:tc>
        <w:tc>
          <w:tcPr>
            <w:tcW w:type="dxa" w:w="2131"/>
            <w:vAlign w:val="center"/>
          </w:tcPr>
          <w:p>
            <w:pPr>
              <w:spacing w:after="0"/>
            </w:pPr>
            <w:r/>
            <w:r>
              <w:rPr>
                <w:b/>
                <w:i w:val="0"/>
                <w:color w:val="000000"/>
                <w:sz w:val="14"/>
                <w:highlight w:val="yellow"/>
              </w:rPr>
              <w:t>{profit_before_tax_prior}</w:t>
            </w:r>
          </w:p>
        </w:tc>
        <w:tc>
          <w:tcPr>
            <w:tcW w:type="dxa" w:w="2131"/>
            <w:vAlign w:val="center"/>
          </w:tcPr>
          <w:p>
            <w:pPr>
              <w:spacing w:after="0"/>
            </w:pPr>
            <w:r/>
            <w:r>
              <w:rPr>
                <w:b/>
                <w:i w:val="0"/>
                <w:color w:val="000000"/>
                <w:sz w:val="14"/>
                <w:highlight w:val="yellow"/>
              </w:rPr>
              <w:t>{pbt_variance}</w:t>
            </w:r>
          </w:p>
        </w:tc>
        <w:tc>
          <w:tcPr>
            <w:tcW w:type="dxa" w:w="2131"/>
            <w:vAlign w:val="center"/>
          </w:tcPr>
          <w:p>
            <w:pPr>
              <w:spacing w:after="0"/>
            </w:pPr>
            <w:r/>
            <w:r>
              <w:rPr>
                <w:b/>
                <w:i w:val="0"/>
                <w:color w:val="000000"/>
                <w:sz w:val="14"/>
                <w:highlight w:val="yellow"/>
              </w:rPr>
              <w:t>{pbt_comment}</w:t>
            </w:r>
          </w:p>
        </w:tc>
      </w:tr>
      <w:tr>
        <w:tc>
          <w:tcPr>
            <w:tcW w:type="dxa" w:w="2131"/>
            <w:shd w:fill="F8FBFE"/>
            <w:vAlign w:val="center"/>
          </w:tcPr>
          <w:p>
            <w:pPr>
              <w:spacing w:after="0"/>
            </w:pPr>
            <w:r/>
            <w:r>
              <w:rPr>
                <w:b w:val="0"/>
                <w:i w:val="0"/>
                <w:sz w:val="14"/>
              </w:rPr>
              <w:t>Retained earnings / accumulated losses</w:t>
            </w:r>
          </w:p>
        </w:tc>
        <w:tc>
          <w:tcPr>
            <w:tcW w:type="dxa" w:w="2131"/>
            <w:shd w:fill="F8FBFE"/>
            <w:vAlign w:val="center"/>
          </w:tcPr>
          <w:p>
            <w:pPr>
              <w:spacing w:after="0"/>
            </w:pPr>
            <w:r/>
            <w:r>
              <w:rPr>
                <w:b/>
                <w:i w:val="0"/>
                <w:color w:val="000000"/>
                <w:sz w:val="14"/>
                <w:highlight w:val="yellow"/>
              </w:rPr>
              <w:t>{retained_earnings_current}</w:t>
            </w:r>
          </w:p>
        </w:tc>
        <w:tc>
          <w:tcPr>
            <w:tcW w:type="dxa" w:w="2131"/>
            <w:shd w:fill="F8FBFE"/>
            <w:vAlign w:val="center"/>
          </w:tcPr>
          <w:p>
            <w:pPr>
              <w:spacing w:after="0"/>
            </w:pPr>
            <w:r/>
            <w:r>
              <w:rPr>
                <w:b/>
                <w:i w:val="0"/>
                <w:color w:val="000000"/>
                <w:sz w:val="14"/>
                <w:highlight w:val="yellow"/>
              </w:rPr>
              <w:t>{retained_earnings_prior}</w:t>
            </w:r>
          </w:p>
        </w:tc>
        <w:tc>
          <w:tcPr>
            <w:tcW w:type="dxa" w:w="2131"/>
            <w:shd w:fill="F8FBFE"/>
            <w:vAlign w:val="center"/>
          </w:tcPr>
          <w:p>
            <w:pPr>
              <w:spacing w:after="0"/>
            </w:pPr>
            <w:r/>
            <w:r>
              <w:rPr>
                <w:b/>
                <w:i w:val="0"/>
                <w:color w:val="000000"/>
                <w:sz w:val="14"/>
                <w:highlight w:val="yellow"/>
              </w:rPr>
              <w:t>{retained_earnings_variance}</w:t>
            </w:r>
          </w:p>
        </w:tc>
        <w:tc>
          <w:tcPr>
            <w:tcW w:type="dxa" w:w="2131"/>
            <w:shd w:fill="F8FBFE"/>
            <w:vAlign w:val="center"/>
          </w:tcPr>
          <w:p>
            <w:pPr>
              <w:spacing w:after="0"/>
            </w:pPr>
            <w:r/>
            <w:r>
              <w:rPr>
                <w:b/>
                <w:i w:val="0"/>
                <w:color w:val="000000"/>
                <w:sz w:val="14"/>
                <w:highlight w:val="yellow"/>
              </w:rPr>
              <w:t>{retained_earnings_comment}</w:t>
            </w:r>
          </w:p>
        </w:tc>
      </w:tr>
    </w:tbl>
    <w:p>
      <w:pPr>
        <w:spacing w:after="80" w:line="240" w:lineRule="auto"/>
      </w:pPr>
    </w:p>
    <w:p>
      <w:pPr>
        <w:spacing w:before="200" w:after="120" w:line="240" w:lineRule="auto"/>
        <w:pBdr>
          <w:bottom w:val="single" w:sz="8" w:space="4" w:color="1E88E5"/>
        </w:pBdr>
      </w:pPr>
      <w:r>
        <w:rPr>
          <w:b/>
          <w:color w:val="071827"/>
          <w:sz w:val="28"/>
        </w:rPr>
        <w:t>8. AUM / FUM and Client Asset Support</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Portfolio / Mandate Category</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Opening FUM</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Inflows</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Outflows</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Market Movement</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Closing FUM</w:t>
            </w:r>
          </w:p>
        </w:tc>
        <w:tc>
          <w:tcPr>
            <w:tcW w:type="dxa" w:w="1522"/>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3"/>
              </w:rPr>
              <w:t>Reference</w:t>
            </w:r>
          </w:p>
        </w:tc>
      </w:tr>
      <w:tr>
        <w:tc>
          <w:tcPr>
            <w:tcW w:type="dxa" w:w="1522"/>
            <w:shd w:fill="F8FBFE"/>
            <w:vAlign w:val="center"/>
          </w:tcPr>
          <w:p>
            <w:pPr>
              <w:spacing w:after="0"/>
            </w:pPr>
            <w:r/>
            <w:r>
              <w:rPr>
                <w:b w:val="0"/>
                <w:i w:val="0"/>
                <w:sz w:val="13"/>
              </w:rPr>
              <w:t>Discretionary portfolios</w:t>
            </w:r>
          </w:p>
        </w:tc>
        <w:tc>
          <w:tcPr>
            <w:tcW w:type="dxa" w:w="1522"/>
            <w:shd w:fill="F8FBFE"/>
            <w:vAlign w:val="center"/>
          </w:tcPr>
          <w:p>
            <w:pPr>
              <w:spacing w:after="0"/>
            </w:pPr>
            <w:r/>
            <w:r>
              <w:rPr>
                <w:b/>
                <w:i w:val="0"/>
                <w:color w:val="000000"/>
                <w:sz w:val="13"/>
                <w:highlight w:val="yellow"/>
              </w:rPr>
              <w:t>{disc_opening_fum}</w:t>
            </w:r>
          </w:p>
        </w:tc>
        <w:tc>
          <w:tcPr>
            <w:tcW w:type="dxa" w:w="1522"/>
            <w:shd w:fill="F8FBFE"/>
            <w:vAlign w:val="center"/>
          </w:tcPr>
          <w:p>
            <w:pPr>
              <w:spacing w:after="0"/>
            </w:pPr>
            <w:r/>
            <w:r>
              <w:rPr>
                <w:b/>
                <w:i w:val="0"/>
                <w:color w:val="000000"/>
                <w:sz w:val="13"/>
                <w:highlight w:val="yellow"/>
              </w:rPr>
              <w:t>{disc_inflows}</w:t>
            </w:r>
          </w:p>
        </w:tc>
        <w:tc>
          <w:tcPr>
            <w:tcW w:type="dxa" w:w="1522"/>
            <w:shd w:fill="F8FBFE"/>
            <w:vAlign w:val="center"/>
          </w:tcPr>
          <w:p>
            <w:pPr>
              <w:spacing w:after="0"/>
            </w:pPr>
            <w:r/>
            <w:r>
              <w:rPr>
                <w:b/>
                <w:i w:val="0"/>
                <w:color w:val="000000"/>
                <w:sz w:val="13"/>
                <w:highlight w:val="yellow"/>
              </w:rPr>
              <w:t>{disc_outflows}</w:t>
            </w:r>
          </w:p>
        </w:tc>
        <w:tc>
          <w:tcPr>
            <w:tcW w:type="dxa" w:w="1522"/>
            <w:shd w:fill="F8FBFE"/>
            <w:vAlign w:val="center"/>
          </w:tcPr>
          <w:p>
            <w:pPr>
              <w:spacing w:after="0"/>
            </w:pPr>
            <w:r/>
            <w:r>
              <w:rPr>
                <w:b/>
                <w:i w:val="0"/>
                <w:color w:val="000000"/>
                <w:sz w:val="13"/>
                <w:highlight w:val="yellow"/>
              </w:rPr>
              <w:t>{disc_market_movement}</w:t>
            </w:r>
          </w:p>
        </w:tc>
        <w:tc>
          <w:tcPr>
            <w:tcW w:type="dxa" w:w="1522"/>
            <w:shd w:fill="F8FBFE"/>
            <w:vAlign w:val="center"/>
          </w:tcPr>
          <w:p>
            <w:pPr>
              <w:spacing w:after="0"/>
            </w:pPr>
            <w:r/>
            <w:r>
              <w:rPr>
                <w:b/>
                <w:i w:val="0"/>
                <w:color w:val="000000"/>
                <w:sz w:val="13"/>
                <w:highlight w:val="yellow"/>
              </w:rPr>
              <w:t>{disc_closing_fum}</w:t>
            </w:r>
          </w:p>
        </w:tc>
        <w:tc>
          <w:tcPr>
            <w:tcW w:type="dxa" w:w="1522"/>
            <w:shd w:fill="F8FBFE"/>
            <w:vAlign w:val="center"/>
          </w:tcPr>
          <w:p>
            <w:pPr>
              <w:spacing w:after="0"/>
            </w:pPr>
            <w:r/>
            <w:r>
              <w:rPr>
                <w:b/>
                <w:i w:val="0"/>
                <w:color w:val="000000"/>
                <w:sz w:val="13"/>
                <w:highlight w:val="yellow"/>
              </w:rPr>
              <w:t>{disc_fum_reference}</w:t>
            </w:r>
          </w:p>
        </w:tc>
      </w:tr>
      <w:tr>
        <w:tc>
          <w:tcPr>
            <w:tcW w:type="dxa" w:w="1522"/>
            <w:vAlign w:val="center"/>
          </w:tcPr>
          <w:p>
            <w:pPr>
              <w:spacing w:after="0"/>
            </w:pPr>
            <w:r/>
            <w:r>
              <w:rPr>
                <w:b w:val="0"/>
                <w:i w:val="0"/>
                <w:sz w:val="13"/>
              </w:rPr>
              <w:t>Advisory portfolios</w:t>
            </w:r>
          </w:p>
        </w:tc>
        <w:tc>
          <w:tcPr>
            <w:tcW w:type="dxa" w:w="1522"/>
            <w:vAlign w:val="center"/>
          </w:tcPr>
          <w:p>
            <w:pPr>
              <w:spacing w:after="0"/>
            </w:pPr>
            <w:r/>
            <w:r>
              <w:rPr>
                <w:b/>
                <w:i w:val="0"/>
                <w:color w:val="000000"/>
                <w:sz w:val="13"/>
                <w:highlight w:val="yellow"/>
              </w:rPr>
              <w:t>{adv_opening_fum}</w:t>
            </w:r>
          </w:p>
        </w:tc>
        <w:tc>
          <w:tcPr>
            <w:tcW w:type="dxa" w:w="1522"/>
            <w:vAlign w:val="center"/>
          </w:tcPr>
          <w:p>
            <w:pPr>
              <w:spacing w:after="0"/>
            </w:pPr>
            <w:r/>
            <w:r>
              <w:rPr>
                <w:b/>
                <w:i w:val="0"/>
                <w:color w:val="000000"/>
                <w:sz w:val="13"/>
                <w:highlight w:val="yellow"/>
              </w:rPr>
              <w:t>{adv_inflows}</w:t>
            </w:r>
          </w:p>
        </w:tc>
        <w:tc>
          <w:tcPr>
            <w:tcW w:type="dxa" w:w="1522"/>
            <w:vAlign w:val="center"/>
          </w:tcPr>
          <w:p>
            <w:pPr>
              <w:spacing w:after="0"/>
            </w:pPr>
            <w:r/>
            <w:r>
              <w:rPr>
                <w:b/>
                <w:i w:val="0"/>
                <w:color w:val="000000"/>
                <w:sz w:val="13"/>
                <w:highlight w:val="yellow"/>
              </w:rPr>
              <w:t>{adv_outflows}</w:t>
            </w:r>
          </w:p>
        </w:tc>
        <w:tc>
          <w:tcPr>
            <w:tcW w:type="dxa" w:w="1522"/>
            <w:vAlign w:val="center"/>
          </w:tcPr>
          <w:p>
            <w:pPr>
              <w:spacing w:after="0"/>
            </w:pPr>
            <w:r/>
            <w:r>
              <w:rPr>
                <w:b/>
                <w:i w:val="0"/>
                <w:color w:val="000000"/>
                <w:sz w:val="13"/>
                <w:highlight w:val="yellow"/>
              </w:rPr>
              <w:t>{adv_market_movement}</w:t>
            </w:r>
          </w:p>
        </w:tc>
        <w:tc>
          <w:tcPr>
            <w:tcW w:type="dxa" w:w="1522"/>
            <w:vAlign w:val="center"/>
          </w:tcPr>
          <w:p>
            <w:pPr>
              <w:spacing w:after="0"/>
            </w:pPr>
            <w:r/>
            <w:r>
              <w:rPr>
                <w:b/>
                <w:i w:val="0"/>
                <w:color w:val="000000"/>
                <w:sz w:val="13"/>
                <w:highlight w:val="yellow"/>
              </w:rPr>
              <w:t>{adv_closing_fum}</w:t>
            </w:r>
          </w:p>
        </w:tc>
        <w:tc>
          <w:tcPr>
            <w:tcW w:type="dxa" w:w="1522"/>
            <w:vAlign w:val="center"/>
          </w:tcPr>
          <w:p>
            <w:pPr>
              <w:spacing w:after="0"/>
            </w:pPr>
            <w:r/>
            <w:r>
              <w:rPr>
                <w:b/>
                <w:i w:val="0"/>
                <w:color w:val="000000"/>
                <w:sz w:val="13"/>
                <w:highlight w:val="yellow"/>
              </w:rPr>
              <w:t>{adv_fum_reference}</w:t>
            </w:r>
          </w:p>
        </w:tc>
      </w:tr>
      <w:tr>
        <w:tc>
          <w:tcPr>
            <w:tcW w:type="dxa" w:w="1522"/>
            <w:shd w:fill="F8FBFE"/>
            <w:vAlign w:val="center"/>
          </w:tcPr>
          <w:p>
            <w:pPr>
              <w:spacing w:after="0"/>
            </w:pPr>
            <w:r/>
            <w:r>
              <w:rPr>
                <w:b w:val="0"/>
                <w:i w:val="0"/>
                <w:sz w:val="13"/>
              </w:rPr>
              <w:t>CIS / unit trust portfolios</w:t>
            </w:r>
          </w:p>
        </w:tc>
        <w:tc>
          <w:tcPr>
            <w:tcW w:type="dxa" w:w="1522"/>
            <w:shd w:fill="F8FBFE"/>
            <w:vAlign w:val="center"/>
          </w:tcPr>
          <w:p>
            <w:pPr>
              <w:spacing w:after="0"/>
            </w:pPr>
            <w:r/>
            <w:r>
              <w:rPr>
                <w:b/>
                <w:i w:val="0"/>
                <w:color w:val="000000"/>
                <w:sz w:val="13"/>
                <w:highlight w:val="yellow"/>
              </w:rPr>
              <w:t>{cis_opening_fum}</w:t>
            </w:r>
          </w:p>
        </w:tc>
        <w:tc>
          <w:tcPr>
            <w:tcW w:type="dxa" w:w="1522"/>
            <w:shd w:fill="F8FBFE"/>
            <w:vAlign w:val="center"/>
          </w:tcPr>
          <w:p>
            <w:pPr>
              <w:spacing w:after="0"/>
            </w:pPr>
            <w:r/>
            <w:r>
              <w:rPr>
                <w:b/>
                <w:i w:val="0"/>
                <w:color w:val="000000"/>
                <w:sz w:val="13"/>
                <w:highlight w:val="yellow"/>
              </w:rPr>
              <w:t>{cis_inflows}</w:t>
            </w:r>
          </w:p>
        </w:tc>
        <w:tc>
          <w:tcPr>
            <w:tcW w:type="dxa" w:w="1522"/>
            <w:shd w:fill="F8FBFE"/>
            <w:vAlign w:val="center"/>
          </w:tcPr>
          <w:p>
            <w:pPr>
              <w:spacing w:after="0"/>
            </w:pPr>
            <w:r/>
            <w:r>
              <w:rPr>
                <w:b/>
                <w:i w:val="0"/>
                <w:color w:val="000000"/>
                <w:sz w:val="13"/>
                <w:highlight w:val="yellow"/>
              </w:rPr>
              <w:t>{cis_outflows}</w:t>
            </w:r>
          </w:p>
        </w:tc>
        <w:tc>
          <w:tcPr>
            <w:tcW w:type="dxa" w:w="1522"/>
            <w:shd w:fill="F8FBFE"/>
            <w:vAlign w:val="center"/>
          </w:tcPr>
          <w:p>
            <w:pPr>
              <w:spacing w:after="0"/>
            </w:pPr>
            <w:r/>
            <w:r>
              <w:rPr>
                <w:b/>
                <w:i w:val="0"/>
                <w:color w:val="000000"/>
                <w:sz w:val="13"/>
                <w:highlight w:val="yellow"/>
              </w:rPr>
              <w:t>{cis_market_movement}</w:t>
            </w:r>
          </w:p>
        </w:tc>
        <w:tc>
          <w:tcPr>
            <w:tcW w:type="dxa" w:w="1522"/>
            <w:shd w:fill="F8FBFE"/>
            <w:vAlign w:val="center"/>
          </w:tcPr>
          <w:p>
            <w:pPr>
              <w:spacing w:after="0"/>
            </w:pPr>
            <w:r/>
            <w:r>
              <w:rPr>
                <w:b/>
                <w:i w:val="0"/>
                <w:color w:val="000000"/>
                <w:sz w:val="13"/>
                <w:highlight w:val="yellow"/>
              </w:rPr>
              <w:t>{cis_closing_fum}</w:t>
            </w:r>
          </w:p>
        </w:tc>
        <w:tc>
          <w:tcPr>
            <w:tcW w:type="dxa" w:w="1522"/>
            <w:shd w:fill="F8FBFE"/>
            <w:vAlign w:val="center"/>
          </w:tcPr>
          <w:p>
            <w:pPr>
              <w:spacing w:after="0"/>
            </w:pPr>
            <w:r/>
            <w:r>
              <w:rPr>
                <w:b/>
                <w:i w:val="0"/>
                <w:color w:val="000000"/>
                <w:sz w:val="13"/>
                <w:highlight w:val="yellow"/>
              </w:rPr>
              <w:t>{cis_fum_reference}</w:t>
            </w:r>
          </w:p>
        </w:tc>
      </w:tr>
      <w:tr>
        <w:tc>
          <w:tcPr>
            <w:tcW w:type="dxa" w:w="1522"/>
            <w:vAlign w:val="center"/>
          </w:tcPr>
          <w:p>
            <w:pPr>
              <w:spacing w:after="0"/>
            </w:pPr>
            <w:r/>
            <w:r>
              <w:rPr>
                <w:b w:val="0"/>
                <w:i w:val="0"/>
                <w:sz w:val="13"/>
              </w:rPr>
              <w:t>Pension mandates</w:t>
            </w:r>
          </w:p>
        </w:tc>
        <w:tc>
          <w:tcPr>
            <w:tcW w:type="dxa" w:w="1522"/>
            <w:vAlign w:val="center"/>
          </w:tcPr>
          <w:p>
            <w:pPr>
              <w:spacing w:after="0"/>
            </w:pPr>
            <w:r/>
            <w:r>
              <w:rPr>
                <w:b/>
                <w:i w:val="0"/>
                <w:color w:val="000000"/>
                <w:sz w:val="13"/>
                <w:highlight w:val="yellow"/>
              </w:rPr>
              <w:t>{pension_opening_fum}</w:t>
            </w:r>
          </w:p>
        </w:tc>
        <w:tc>
          <w:tcPr>
            <w:tcW w:type="dxa" w:w="1522"/>
            <w:vAlign w:val="center"/>
          </w:tcPr>
          <w:p>
            <w:pPr>
              <w:spacing w:after="0"/>
            </w:pPr>
            <w:r/>
            <w:r>
              <w:rPr>
                <w:b/>
                <w:i w:val="0"/>
                <w:color w:val="000000"/>
                <w:sz w:val="13"/>
                <w:highlight w:val="yellow"/>
              </w:rPr>
              <w:t>{pension_inflows}</w:t>
            </w:r>
          </w:p>
        </w:tc>
        <w:tc>
          <w:tcPr>
            <w:tcW w:type="dxa" w:w="1522"/>
            <w:vAlign w:val="center"/>
          </w:tcPr>
          <w:p>
            <w:pPr>
              <w:spacing w:after="0"/>
            </w:pPr>
            <w:r/>
            <w:r>
              <w:rPr>
                <w:b/>
                <w:i w:val="0"/>
                <w:color w:val="000000"/>
                <w:sz w:val="13"/>
                <w:highlight w:val="yellow"/>
              </w:rPr>
              <w:t>{pension_outflows}</w:t>
            </w:r>
          </w:p>
        </w:tc>
        <w:tc>
          <w:tcPr>
            <w:tcW w:type="dxa" w:w="1522"/>
            <w:vAlign w:val="center"/>
          </w:tcPr>
          <w:p>
            <w:pPr>
              <w:spacing w:after="0"/>
            </w:pPr>
            <w:r/>
            <w:r>
              <w:rPr>
                <w:b/>
                <w:i w:val="0"/>
                <w:color w:val="000000"/>
                <w:sz w:val="13"/>
                <w:highlight w:val="yellow"/>
              </w:rPr>
              <w:t>{pension_market_movement}</w:t>
            </w:r>
          </w:p>
        </w:tc>
        <w:tc>
          <w:tcPr>
            <w:tcW w:type="dxa" w:w="1522"/>
            <w:vAlign w:val="center"/>
          </w:tcPr>
          <w:p>
            <w:pPr>
              <w:spacing w:after="0"/>
            </w:pPr>
            <w:r/>
            <w:r>
              <w:rPr>
                <w:b/>
                <w:i w:val="0"/>
                <w:color w:val="000000"/>
                <w:sz w:val="13"/>
                <w:highlight w:val="yellow"/>
              </w:rPr>
              <w:t>{pension_closing_fum}</w:t>
            </w:r>
          </w:p>
        </w:tc>
        <w:tc>
          <w:tcPr>
            <w:tcW w:type="dxa" w:w="1522"/>
            <w:vAlign w:val="center"/>
          </w:tcPr>
          <w:p>
            <w:pPr>
              <w:spacing w:after="0"/>
            </w:pPr>
            <w:r/>
            <w:r>
              <w:rPr>
                <w:b/>
                <w:i w:val="0"/>
                <w:color w:val="000000"/>
                <w:sz w:val="13"/>
                <w:highlight w:val="yellow"/>
              </w:rPr>
              <w:t>{pension_fum_reference}</w:t>
            </w:r>
          </w:p>
        </w:tc>
      </w:tr>
      <w:tr>
        <w:tc>
          <w:tcPr>
            <w:tcW w:type="dxa" w:w="1522"/>
            <w:shd w:fill="F8FBFE"/>
            <w:vAlign w:val="center"/>
          </w:tcPr>
          <w:p>
            <w:pPr>
              <w:spacing w:after="0"/>
            </w:pPr>
            <w:r/>
            <w:r>
              <w:rPr>
                <w:b w:val="0"/>
                <w:i w:val="0"/>
                <w:sz w:val="13"/>
              </w:rPr>
              <w:t>Other mandates</w:t>
            </w:r>
          </w:p>
        </w:tc>
        <w:tc>
          <w:tcPr>
            <w:tcW w:type="dxa" w:w="1522"/>
            <w:shd w:fill="F8FBFE"/>
            <w:vAlign w:val="center"/>
          </w:tcPr>
          <w:p>
            <w:pPr>
              <w:spacing w:after="0"/>
            </w:pPr>
            <w:r/>
            <w:r>
              <w:rPr>
                <w:b/>
                <w:i w:val="0"/>
                <w:color w:val="000000"/>
                <w:sz w:val="13"/>
                <w:highlight w:val="yellow"/>
              </w:rPr>
              <w:t>{other_opening_fum}</w:t>
            </w:r>
          </w:p>
        </w:tc>
        <w:tc>
          <w:tcPr>
            <w:tcW w:type="dxa" w:w="1522"/>
            <w:shd w:fill="F8FBFE"/>
            <w:vAlign w:val="center"/>
          </w:tcPr>
          <w:p>
            <w:pPr>
              <w:spacing w:after="0"/>
            </w:pPr>
            <w:r/>
            <w:r>
              <w:rPr>
                <w:b/>
                <w:i w:val="0"/>
                <w:color w:val="000000"/>
                <w:sz w:val="13"/>
                <w:highlight w:val="yellow"/>
              </w:rPr>
              <w:t>{other_inflows}</w:t>
            </w:r>
          </w:p>
        </w:tc>
        <w:tc>
          <w:tcPr>
            <w:tcW w:type="dxa" w:w="1522"/>
            <w:shd w:fill="F8FBFE"/>
            <w:vAlign w:val="center"/>
          </w:tcPr>
          <w:p>
            <w:pPr>
              <w:spacing w:after="0"/>
            </w:pPr>
            <w:r/>
            <w:r>
              <w:rPr>
                <w:b/>
                <w:i w:val="0"/>
                <w:color w:val="000000"/>
                <w:sz w:val="13"/>
                <w:highlight w:val="yellow"/>
              </w:rPr>
              <w:t>{other_outflows}</w:t>
            </w:r>
          </w:p>
        </w:tc>
        <w:tc>
          <w:tcPr>
            <w:tcW w:type="dxa" w:w="1522"/>
            <w:shd w:fill="F8FBFE"/>
            <w:vAlign w:val="center"/>
          </w:tcPr>
          <w:p>
            <w:pPr>
              <w:spacing w:after="0"/>
            </w:pPr>
            <w:r/>
            <w:r>
              <w:rPr>
                <w:b/>
                <w:i w:val="0"/>
                <w:color w:val="000000"/>
                <w:sz w:val="13"/>
                <w:highlight w:val="yellow"/>
              </w:rPr>
              <w:t>{other_market_movement}</w:t>
            </w:r>
          </w:p>
        </w:tc>
        <w:tc>
          <w:tcPr>
            <w:tcW w:type="dxa" w:w="1522"/>
            <w:shd w:fill="F8FBFE"/>
            <w:vAlign w:val="center"/>
          </w:tcPr>
          <w:p>
            <w:pPr>
              <w:spacing w:after="0"/>
            </w:pPr>
            <w:r/>
            <w:r>
              <w:rPr>
                <w:b/>
                <w:i w:val="0"/>
                <w:color w:val="000000"/>
                <w:sz w:val="13"/>
                <w:highlight w:val="yellow"/>
              </w:rPr>
              <w:t>{other_closing_fum}</w:t>
            </w:r>
          </w:p>
        </w:tc>
        <w:tc>
          <w:tcPr>
            <w:tcW w:type="dxa" w:w="1522"/>
            <w:shd w:fill="F8FBFE"/>
            <w:vAlign w:val="center"/>
          </w:tcPr>
          <w:p>
            <w:pPr>
              <w:spacing w:after="0"/>
            </w:pPr>
            <w:r/>
            <w:r>
              <w:rPr>
                <w:b/>
                <w:i w:val="0"/>
                <w:color w:val="000000"/>
                <w:sz w:val="13"/>
                <w:highlight w:val="yellow"/>
              </w:rPr>
              <w:t>{other_fum_reference}</w:t>
            </w:r>
          </w:p>
        </w:tc>
      </w:tr>
      <w:tr>
        <w:tc>
          <w:tcPr>
            <w:tcW w:type="dxa" w:w="1522"/>
            <w:vAlign w:val="center"/>
          </w:tcPr>
          <w:p>
            <w:pPr>
              <w:spacing w:after="0"/>
            </w:pPr>
            <w:r/>
            <w:r>
              <w:rPr>
                <w:b w:val="0"/>
                <w:i w:val="0"/>
                <w:sz w:val="13"/>
              </w:rPr>
              <w:t>Total</w:t>
            </w:r>
          </w:p>
        </w:tc>
        <w:tc>
          <w:tcPr>
            <w:tcW w:type="dxa" w:w="1522"/>
            <w:vAlign w:val="center"/>
          </w:tcPr>
          <w:p>
            <w:pPr>
              <w:spacing w:after="0"/>
            </w:pPr>
            <w:r/>
            <w:r>
              <w:rPr>
                <w:b/>
                <w:i w:val="0"/>
                <w:color w:val="000000"/>
                <w:sz w:val="13"/>
                <w:highlight w:val="yellow"/>
              </w:rPr>
              <w:t>{total_opening_fum}</w:t>
            </w:r>
          </w:p>
        </w:tc>
        <w:tc>
          <w:tcPr>
            <w:tcW w:type="dxa" w:w="1522"/>
            <w:vAlign w:val="center"/>
          </w:tcPr>
          <w:p>
            <w:pPr>
              <w:spacing w:after="0"/>
            </w:pPr>
            <w:r/>
            <w:r>
              <w:rPr>
                <w:b/>
                <w:i w:val="0"/>
                <w:color w:val="000000"/>
                <w:sz w:val="13"/>
                <w:highlight w:val="yellow"/>
              </w:rPr>
              <w:t>{total_inflows}</w:t>
            </w:r>
          </w:p>
        </w:tc>
        <w:tc>
          <w:tcPr>
            <w:tcW w:type="dxa" w:w="1522"/>
            <w:vAlign w:val="center"/>
          </w:tcPr>
          <w:p>
            <w:pPr>
              <w:spacing w:after="0"/>
            </w:pPr>
            <w:r/>
            <w:r>
              <w:rPr>
                <w:b/>
                <w:i w:val="0"/>
                <w:color w:val="000000"/>
                <w:sz w:val="13"/>
                <w:highlight w:val="yellow"/>
              </w:rPr>
              <w:t>{total_outflows}</w:t>
            </w:r>
          </w:p>
        </w:tc>
        <w:tc>
          <w:tcPr>
            <w:tcW w:type="dxa" w:w="1522"/>
            <w:vAlign w:val="center"/>
          </w:tcPr>
          <w:p>
            <w:pPr>
              <w:spacing w:after="0"/>
            </w:pPr>
            <w:r/>
            <w:r>
              <w:rPr>
                <w:b/>
                <w:i w:val="0"/>
                <w:color w:val="000000"/>
                <w:sz w:val="13"/>
                <w:highlight w:val="yellow"/>
              </w:rPr>
              <w:t>{total_market_movement}</w:t>
            </w:r>
          </w:p>
        </w:tc>
        <w:tc>
          <w:tcPr>
            <w:tcW w:type="dxa" w:w="1522"/>
            <w:vAlign w:val="center"/>
          </w:tcPr>
          <w:p>
            <w:pPr>
              <w:spacing w:after="0"/>
            </w:pPr>
            <w:r/>
            <w:r>
              <w:rPr>
                <w:b/>
                <w:i w:val="0"/>
                <w:color w:val="000000"/>
                <w:sz w:val="13"/>
                <w:highlight w:val="yellow"/>
              </w:rPr>
              <w:t>{total_closing_fum}</w:t>
            </w:r>
          </w:p>
        </w:tc>
        <w:tc>
          <w:tcPr>
            <w:tcW w:type="dxa" w:w="1522"/>
            <w:vAlign w:val="center"/>
          </w:tcPr>
          <w:p>
            <w:pPr>
              <w:spacing w:after="0"/>
            </w:pPr>
            <w:r/>
            <w:r>
              <w:rPr>
                <w:b/>
                <w:i w:val="0"/>
                <w:color w:val="000000"/>
                <w:sz w:val="13"/>
                <w:highlight w:val="yellow"/>
              </w:rPr>
              <w:t>{total_fum_reference}</w:t>
            </w:r>
          </w:p>
        </w:tc>
      </w:tr>
    </w:tbl>
    <w:p>
      <w:pPr>
        <w:spacing w:after="80" w:line="240" w:lineRule="auto"/>
      </w:pPr>
    </w:p>
    <w:p>
      <w:pPr>
        <w:spacing w:before="200" w:after="120" w:line="240" w:lineRule="auto"/>
        <w:pBdr>
          <w:bottom w:val="single" w:sz="8" w:space="4" w:color="1E88E5"/>
        </w:pBdr>
      </w:pPr>
      <w:r>
        <w:rPr>
          <w:b/>
          <w:color w:val="071827"/>
          <w:sz w:val="28"/>
        </w:rPr>
        <w:t>9. Liquidity, Receivables and Payables Analysis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Liquidity / Ageing Category</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Eligible for ALC?</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Treatment / Comment</w:t>
            </w:r>
          </w:p>
        </w:tc>
      </w:tr>
      <w:tr>
        <w:tc>
          <w:tcPr>
            <w:tcW w:type="dxa" w:w="2664"/>
            <w:shd w:fill="F8FBFE"/>
            <w:vAlign w:val="center"/>
          </w:tcPr>
          <w:p>
            <w:pPr>
              <w:spacing w:after="0"/>
            </w:pPr>
            <w:r/>
            <w:r>
              <w:rPr>
                <w:b w:val="0"/>
                <w:i w:val="0"/>
                <w:sz w:val="14"/>
              </w:rPr>
              <w:t>Cash immediately available</w:t>
            </w:r>
          </w:p>
        </w:tc>
        <w:tc>
          <w:tcPr>
            <w:tcW w:type="dxa" w:w="2664"/>
            <w:shd w:fill="F8FBFE"/>
            <w:vAlign w:val="center"/>
          </w:tcPr>
          <w:p>
            <w:pPr>
              <w:spacing w:after="0"/>
            </w:pPr>
            <w:r/>
            <w:r>
              <w:rPr>
                <w:b/>
                <w:i w:val="0"/>
                <w:color w:val="000000"/>
                <w:sz w:val="14"/>
                <w:highlight w:val="yellow"/>
              </w:rPr>
              <w:t>{cash_immediately_available}</w:t>
            </w:r>
          </w:p>
        </w:tc>
        <w:tc>
          <w:tcPr>
            <w:tcW w:type="dxa" w:w="2664"/>
            <w:shd w:fill="F8FBFE"/>
            <w:vAlign w:val="center"/>
          </w:tcPr>
          <w:p>
            <w:pPr>
              <w:spacing w:after="0"/>
            </w:pPr>
            <w:r/>
            <w:r>
              <w:rPr>
                <w:b/>
                <w:i w:val="0"/>
                <w:color w:val="000000"/>
                <w:sz w:val="14"/>
                <w:highlight w:val="yellow"/>
              </w:rPr>
              <w:t>{yes_no}</w:t>
            </w:r>
          </w:p>
        </w:tc>
        <w:tc>
          <w:tcPr>
            <w:tcW w:type="dxa" w:w="2664"/>
            <w:shd w:fill="F8FBFE"/>
            <w:vAlign w:val="center"/>
          </w:tcPr>
          <w:p>
            <w:pPr>
              <w:spacing w:after="0"/>
            </w:pPr>
            <w:r/>
            <w:r>
              <w:rPr>
                <w:b/>
                <w:i w:val="0"/>
                <w:color w:val="000000"/>
                <w:sz w:val="14"/>
                <w:highlight w:val="yellow"/>
              </w:rPr>
              <w:t>{cash_available_comment}</w:t>
            </w:r>
          </w:p>
        </w:tc>
      </w:tr>
      <w:tr>
        <w:tc>
          <w:tcPr>
            <w:tcW w:type="dxa" w:w="2664"/>
            <w:vAlign w:val="center"/>
          </w:tcPr>
          <w:p>
            <w:pPr>
              <w:spacing w:after="0"/>
            </w:pPr>
            <w:r/>
            <w:r>
              <w:rPr>
                <w:b w:val="0"/>
                <w:i w:val="0"/>
                <w:sz w:val="14"/>
              </w:rPr>
              <w:t>Cash subject to restriction</w:t>
            </w:r>
          </w:p>
        </w:tc>
        <w:tc>
          <w:tcPr>
            <w:tcW w:type="dxa" w:w="2664"/>
            <w:vAlign w:val="center"/>
          </w:tcPr>
          <w:p>
            <w:pPr>
              <w:spacing w:after="0"/>
            </w:pPr>
            <w:r/>
            <w:r>
              <w:rPr>
                <w:b/>
                <w:i w:val="0"/>
                <w:color w:val="000000"/>
                <w:sz w:val="14"/>
                <w:highlight w:val="yellow"/>
              </w:rPr>
              <w:t>{cash_subject_to_restriction}</w:t>
            </w:r>
          </w:p>
        </w:tc>
        <w:tc>
          <w:tcPr>
            <w:tcW w:type="dxa" w:w="2664"/>
            <w:vAlign w:val="center"/>
          </w:tcPr>
          <w:p>
            <w:pPr>
              <w:spacing w:after="0"/>
            </w:pPr>
            <w:r/>
            <w:r>
              <w:rPr>
                <w:b w:val="0"/>
                <w:i w:val="0"/>
                <w:sz w:val="14"/>
              </w:rPr>
              <w:t xml:space="preserve">No / </w:t>
            </w:r>
            <w:r>
              <w:rPr>
                <w:b/>
                <w:i w:val="0"/>
                <w:color w:val="000000"/>
                <w:sz w:val="14"/>
                <w:highlight w:val="yellow"/>
              </w:rPr>
              <w:t>{exception_basis}</w:t>
            </w:r>
          </w:p>
        </w:tc>
        <w:tc>
          <w:tcPr>
            <w:tcW w:type="dxa" w:w="2664"/>
            <w:vAlign w:val="center"/>
          </w:tcPr>
          <w:p>
            <w:pPr>
              <w:spacing w:after="0"/>
            </w:pPr>
            <w:r/>
            <w:r>
              <w:rPr>
                <w:b/>
                <w:i w:val="0"/>
                <w:color w:val="000000"/>
                <w:sz w:val="14"/>
                <w:highlight w:val="yellow"/>
              </w:rPr>
              <w:t>{restricted_cash_comment}</w:t>
            </w:r>
          </w:p>
        </w:tc>
      </w:tr>
      <w:tr>
        <w:tc>
          <w:tcPr>
            <w:tcW w:type="dxa" w:w="2664"/>
            <w:shd w:fill="F8FBFE"/>
            <w:vAlign w:val="center"/>
          </w:tcPr>
          <w:p>
            <w:pPr>
              <w:spacing w:after="0"/>
            </w:pPr>
            <w:r/>
            <w:r>
              <w:rPr>
                <w:b w:val="0"/>
                <w:i w:val="0"/>
                <w:sz w:val="14"/>
              </w:rPr>
              <w:t>Receivables: current</w:t>
            </w:r>
          </w:p>
        </w:tc>
        <w:tc>
          <w:tcPr>
            <w:tcW w:type="dxa" w:w="2664"/>
            <w:shd w:fill="F8FBFE"/>
            <w:vAlign w:val="center"/>
          </w:tcPr>
          <w:p>
            <w:pPr>
              <w:spacing w:after="0"/>
            </w:pPr>
            <w:r/>
            <w:r>
              <w:rPr>
                <w:b/>
                <w:i w:val="0"/>
                <w:color w:val="000000"/>
                <w:sz w:val="14"/>
                <w:highlight w:val="yellow"/>
              </w:rPr>
              <w:t>{receivables_current}</w:t>
            </w:r>
          </w:p>
        </w:tc>
        <w:tc>
          <w:tcPr>
            <w:tcW w:type="dxa" w:w="2664"/>
            <w:shd w:fill="F8FBFE"/>
            <w:vAlign w:val="center"/>
          </w:tcPr>
          <w:p>
            <w:pPr>
              <w:spacing w:after="0"/>
            </w:pPr>
            <w:r/>
            <w:r>
              <w:rPr>
                <w:b/>
                <w:i w:val="0"/>
                <w:color w:val="000000"/>
                <w:sz w:val="14"/>
                <w:highlight w:val="yellow"/>
              </w:rPr>
              <w:t>{yes_no}</w:t>
            </w:r>
          </w:p>
        </w:tc>
        <w:tc>
          <w:tcPr>
            <w:tcW w:type="dxa" w:w="2664"/>
            <w:shd w:fill="F8FBFE"/>
            <w:vAlign w:val="center"/>
          </w:tcPr>
          <w:p>
            <w:pPr>
              <w:spacing w:after="0"/>
            </w:pPr>
            <w:r/>
            <w:r>
              <w:rPr>
                <w:b/>
                <w:i w:val="0"/>
                <w:color w:val="000000"/>
                <w:sz w:val="14"/>
                <w:highlight w:val="yellow"/>
              </w:rPr>
              <w:t>{receivables_current_comment}</w:t>
            </w:r>
          </w:p>
        </w:tc>
      </w:tr>
      <w:tr>
        <w:tc>
          <w:tcPr>
            <w:tcW w:type="dxa" w:w="2664"/>
            <w:vAlign w:val="center"/>
          </w:tcPr>
          <w:p>
            <w:pPr>
              <w:spacing w:after="0"/>
            </w:pPr>
            <w:r/>
            <w:r>
              <w:rPr>
                <w:b w:val="0"/>
                <w:i w:val="0"/>
                <w:sz w:val="14"/>
              </w:rPr>
              <w:t>Receivables: 31-60 days</w:t>
            </w:r>
          </w:p>
        </w:tc>
        <w:tc>
          <w:tcPr>
            <w:tcW w:type="dxa" w:w="2664"/>
            <w:vAlign w:val="center"/>
          </w:tcPr>
          <w:p>
            <w:pPr>
              <w:spacing w:after="0"/>
            </w:pPr>
            <w:r/>
            <w:r>
              <w:rPr>
                <w:b/>
                <w:i w:val="0"/>
                <w:color w:val="000000"/>
                <w:sz w:val="14"/>
                <w:highlight w:val="yellow"/>
              </w:rPr>
              <w:t>{receivables_31_60}</w:t>
            </w:r>
          </w:p>
        </w:tc>
        <w:tc>
          <w:tcPr>
            <w:tcW w:type="dxa" w:w="2664"/>
            <w:vAlign w:val="center"/>
          </w:tcPr>
          <w:p>
            <w:pPr>
              <w:spacing w:after="0"/>
            </w:pPr>
            <w:r/>
            <w:r>
              <w:rPr>
                <w:b/>
                <w:i w:val="0"/>
                <w:color w:val="000000"/>
                <w:sz w:val="14"/>
                <w:highlight w:val="yellow"/>
              </w:rPr>
              <w:t>{yes_no}</w:t>
            </w:r>
          </w:p>
        </w:tc>
        <w:tc>
          <w:tcPr>
            <w:tcW w:type="dxa" w:w="2664"/>
            <w:vAlign w:val="center"/>
          </w:tcPr>
          <w:p>
            <w:pPr>
              <w:spacing w:after="0"/>
            </w:pPr>
            <w:r/>
            <w:r>
              <w:rPr>
                <w:b/>
                <w:i w:val="0"/>
                <w:color w:val="000000"/>
                <w:sz w:val="14"/>
                <w:highlight w:val="yellow"/>
              </w:rPr>
              <w:t>{receivables_31_60_comment}</w:t>
            </w:r>
          </w:p>
        </w:tc>
      </w:tr>
      <w:tr>
        <w:tc>
          <w:tcPr>
            <w:tcW w:type="dxa" w:w="2664"/>
            <w:shd w:fill="F8FBFE"/>
            <w:vAlign w:val="center"/>
          </w:tcPr>
          <w:p>
            <w:pPr>
              <w:spacing w:after="0"/>
            </w:pPr>
            <w:r/>
            <w:r>
              <w:rPr>
                <w:b w:val="0"/>
                <w:i w:val="0"/>
                <w:sz w:val="14"/>
              </w:rPr>
              <w:t>Receivables: 61-90 days</w:t>
            </w:r>
          </w:p>
        </w:tc>
        <w:tc>
          <w:tcPr>
            <w:tcW w:type="dxa" w:w="2664"/>
            <w:shd w:fill="F8FBFE"/>
            <w:vAlign w:val="center"/>
          </w:tcPr>
          <w:p>
            <w:pPr>
              <w:spacing w:after="0"/>
            </w:pPr>
            <w:r/>
            <w:r>
              <w:rPr>
                <w:b/>
                <w:i w:val="0"/>
                <w:color w:val="000000"/>
                <w:sz w:val="14"/>
                <w:highlight w:val="yellow"/>
              </w:rPr>
              <w:t>{receivables_61_90}</w:t>
            </w:r>
          </w:p>
        </w:tc>
        <w:tc>
          <w:tcPr>
            <w:tcW w:type="dxa" w:w="2664"/>
            <w:shd w:fill="F8FBFE"/>
            <w:vAlign w:val="center"/>
          </w:tcPr>
          <w:p>
            <w:pPr>
              <w:spacing w:after="0"/>
            </w:pPr>
            <w:r/>
            <w:r>
              <w:rPr>
                <w:b/>
                <w:i w:val="0"/>
                <w:color w:val="000000"/>
                <w:sz w:val="14"/>
                <w:highlight w:val="yellow"/>
              </w:rPr>
              <w:t>{yes_no}</w:t>
            </w:r>
          </w:p>
        </w:tc>
        <w:tc>
          <w:tcPr>
            <w:tcW w:type="dxa" w:w="2664"/>
            <w:shd w:fill="F8FBFE"/>
            <w:vAlign w:val="center"/>
          </w:tcPr>
          <w:p>
            <w:pPr>
              <w:spacing w:after="0"/>
            </w:pPr>
            <w:r/>
            <w:r>
              <w:rPr>
                <w:b/>
                <w:i w:val="0"/>
                <w:color w:val="000000"/>
                <w:sz w:val="14"/>
                <w:highlight w:val="yellow"/>
              </w:rPr>
              <w:t>{receivables_61_90_comment}</w:t>
            </w:r>
          </w:p>
        </w:tc>
      </w:tr>
      <w:tr>
        <w:tc>
          <w:tcPr>
            <w:tcW w:type="dxa" w:w="2664"/>
            <w:vAlign w:val="center"/>
          </w:tcPr>
          <w:p>
            <w:pPr>
              <w:spacing w:after="0"/>
            </w:pPr>
            <w:r/>
            <w:r>
              <w:rPr>
                <w:b w:val="0"/>
                <w:i w:val="0"/>
                <w:sz w:val="14"/>
              </w:rPr>
              <w:t>Receivables: over 90 days</w:t>
            </w:r>
          </w:p>
        </w:tc>
        <w:tc>
          <w:tcPr>
            <w:tcW w:type="dxa" w:w="2664"/>
            <w:vAlign w:val="center"/>
          </w:tcPr>
          <w:p>
            <w:pPr>
              <w:spacing w:after="0"/>
            </w:pPr>
            <w:r/>
            <w:r>
              <w:rPr>
                <w:b/>
                <w:i w:val="0"/>
                <w:color w:val="000000"/>
                <w:sz w:val="14"/>
                <w:highlight w:val="yellow"/>
              </w:rPr>
              <w:t>{receivables_over_90}</w:t>
            </w:r>
          </w:p>
        </w:tc>
        <w:tc>
          <w:tcPr>
            <w:tcW w:type="dxa" w:w="2664"/>
            <w:vAlign w:val="center"/>
          </w:tcPr>
          <w:p>
            <w:pPr>
              <w:spacing w:after="0"/>
            </w:pPr>
            <w:r/>
            <w:r>
              <w:rPr>
                <w:b/>
                <w:i w:val="0"/>
                <w:color w:val="000000"/>
                <w:sz w:val="14"/>
                <w:highlight w:val="yellow"/>
              </w:rPr>
              <w:t>{yes_no}</w:t>
            </w:r>
          </w:p>
        </w:tc>
        <w:tc>
          <w:tcPr>
            <w:tcW w:type="dxa" w:w="2664"/>
            <w:vAlign w:val="center"/>
          </w:tcPr>
          <w:p>
            <w:pPr>
              <w:spacing w:after="0"/>
            </w:pPr>
            <w:r/>
            <w:r>
              <w:rPr>
                <w:b/>
                <w:i w:val="0"/>
                <w:color w:val="000000"/>
                <w:sz w:val="14"/>
                <w:highlight w:val="yellow"/>
              </w:rPr>
              <w:t>{receivables_over_90_comment}</w:t>
            </w:r>
          </w:p>
        </w:tc>
      </w:tr>
      <w:tr>
        <w:tc>
          <w:tcPr>
            <w:tcW w:type="dxa" w:w="2664"/>
            <w:shd w:fill="F8FBFE"/>
            <w:vAlign w:val="center"/>
          </w:tcPr>
          <w:p>
            <w:pPr>
              <w:spacing w:after="0"/>
            </w:pPr>
            <w:r/>
            <w:r>
              <w:rPr>
                <w:b w:val="0"/>
                <w:i w:val="0"/>
                <w:sz w:val="14"/>
              </w:rPr>
              <w:t>Payables: current</w:t>
            </w:r>
          </w:p>
        </w:tc>
        <w:tc>
          <w:tcPr>
            <w:tcW w:type="dxa" w:w="2664"/>
            <w:shd w:fill="F8FBFE"/>
            <w:vAlign w:val="center"/>
          </w:tcPr>
          <w:p>
            <w:pPr>
              <w:spacing w:after="0"/>
            </w:pPr>
            <w:r/>
            <w:r>
              <w:rPr>
                <w:b/>
                <w:i w:val="0"/>
                <w:color w:val="000000"/>
                <w:sz w:val="14"/>
                <w:highlight w:val="yellow"/>
              </w:rPr>
              <w:t>{payables_current}</w:t>
            </w:r>
          </w:p>
        </w:tc>
        <w:tc>
          <w:tcPr>
            <w:tcW w:type="dxa" w:w="2664"/>
            <w:shd w:fill="F8FBFE"/>
            <w:vAlign w:val="center"/>
          </w:tcPr>
          <w:p>
            <w:pPr>
              <w:spacing w:after="0"/>
            </w:pPr>
            <w:r/>
            <w:r>
              <w:rPr>
                <w:b w:val="0"/>
                <w:i w:val="0"/>
                <w:sz w:val="14"/>
              </w:rPr>
              <w:t>N/A</w:t>
            </w:r>
          </w:p>
        </w:tc>
        <w:tc>
          <w:tcPr>
            <w:tcW w:type="dxa" w:w="2664"/>
            <w:shd w:fill="F8FBFE"/>
            <w:vAlign w:val="center"/>
          </w:tcPr>
          <w:p>
            <w:pPr>
              <w:spacing w:after="0"/>
            </w:pPr>
            <w:r/>
            <w:r>
              <w:rPr>
                <w:b/>
                <w:i w:val="0"/>
                <w:color w:val="000000"/>
                <w:sz w:val="14"/>
                <w:highlight w:val="yellow"/>
              </w:rPr>
              <w:t>{payables_current_comment}</w:t>
            </w:r>
          </w:p>
        </w:tc>
      </w:tr>
      <w:tr>
        <w:tc>
          <w:tcPr>
            <w:tcW w:type="dxa" w:w="2664"/>
            <w:vAlign w:val="center"/>
          </w:tcPr>
          <w:p>
            <w:pPr>
              <w:spacing w:after="0"/>
            </w:pPr>
            <w:r/>
            <w:r>
              <w:rPr>
                <w:b w:val="0"/>
                <w:i w:val="0"/>
                <w:sz w:val="14"/>
              </w:rPr>
              <w:t>Payables: overdue</w:t>
            </w:r>
          </w:p>
        </w:tc>
        <w:tc>
          <w:tcPr>
            <w:tcW w:type="dxa" w:w="2664"/>
            <w:vAlign w:val="center"/>
          </w:tcPr>
          <w:p>
            <w:pPr>
              <w:spacing w:after="0"/>
            </w:pPr>
            <w:r/>
            <w:r>
              <w:rPr>
                <w:b/>
                <w:i w:val="0"/>
                <w:color w:val="000000"/>
                <w:sz w:val="14"/>
                <w:highlight w:val="yellow"/>
              </w:rPr>
              <w:t>{payables_overdue}</w:t>
            </w:r>
          </w:p>
        </w:tc>
        <w:tc>
          <w:tcPr>
            <w:tcW w:type="dxa" w:w="2664"/>
            <w:vAlign w:val="center"/>
          </w:tcPr>
          <w:p>
            <w:pPr>
              <w:spacing w:after="0"/>
            </w:pPr>
            <w:r/>
            <w:r>
              <w:rPr>
                <w:b w:val="0"/>
                <w:i w:val="0"/>
                <w:sz w:val="14"/>
              </w:rPr>
              <w:t>N/A</w:t>
            </w:r>
          </w:p>
        </w:tc>
        <w:tc>
          <w:tcPr>
            <w:tcW w:type="dxa" w:w="2664"/>
            <w:vAlign w:val="center"/>
          </w:tcPr>
          <w:p>
            <w:pPr>
              <w:spacing w:after="0"/>
            </w:pPr>
            <w:r/>
            <w:r>
              <w:rPr>
                <w:b/>
                <w:i w:val="0"/>
                <w:color w:val="000000"/>
                <w:sz w:val="14"/>
                <w:highlight w:val="yellow"/>
              </w:rPr>
              <w:t>{payables_overdue_comment}</w:t>
            </w:r>
          </w:p>
        </w:tc>
      </w:tr>
    </w:tbl>
    <w:p>
      <w:pPr>
        <w:spacing w:after="80" w:line="240" w:lineRule="auto"/>
      </w:pPr>
    </w:p>
    <w:p>
      <w:pPr>
        <w:spacing w:before="200" w:after="120" w:line="240" w:lineRule="auto"/>
        <w:pBdr>
          <w:bottom w:val="single" w:sz="8" w:space="4" w:color="1E88E5"/>
        </w:pBdr>
      </w:pPr>
      <w:r>
        <w:rPr>
          <w:b/>
          <w:color w:val="071827"/>
          <w:sz w:val="28"/>
        </w:rPr>
        <w:t>10. Exposure and Concentration Schedule</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This section supports prudential review and assists management to identify capital pressure from concentration, liquidity or market exposure. Replace rows with the entity’s actual exposure categories.</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Exposure Category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Amount</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 of Total Exposure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Risk / Capital Treatment</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Comment</w:t>
            </w:r>
          </w:p>
        </w:tc>
      </w:tr>
      <w:tr>
        <w:tc>
          <w:tcPr>
            <w:tcW w:type="dxa" w:w="2131"/>
            <w:shd w:fill="F8FBFE"/>
            <w:vAlign w:val="center"/>
          </w:tcPr>
          <w:p>
            <w:pPr>
              <w:spacing w:after="0"/>
            </w:pPr>
            <w:r/>
            <w:r>
              <w:rPr>
                <w:b w:val="0"/>
                <w:i w:val="0"/>
                <w:sz w:val="14"/>
              </w:rPr>
              <w:t>Listed equities</w:t>
            </w:r>
          </w:p>
        </w:tc>
        <w:tc>
          <w:tcPr>
            <w:tcW w:type="dxa" w:w="2131"/>
            <w:shd w:fill="F8FBFE"/>
            <w:vAlign w:val="center"/>
          </w:tcPr>
          <w:p>
            <w:pPr>
              <w:spacing w:after="0"/>
            </w:pPr>
            <w:r/>
            <w:r>
              <w:rPr>
                <w:b/>
                <w:i w:val="0"/>
                <w:color w:val="000000"/>
                <w:sz w:val="14"/>
                <w:highlight w:val="yellow"/>
              </w:rPr>
              <w:t>{listed_equities_exposure}</w:t>
            </w:r>
          </w:p>
        </w:tc>
        <w:tc>
          <w:tcPr>
            <w:tcW w:type="dxa" w:w="2131"/>
            <w:shd w:fill="F8FBFE"/>
            <w:vAlign w:val="center"/>
          </w:tcPr>
          <w:p>
            <w:pPr>
              <w:spacing w:after="0"/>
            </w:pPr>
            <w:r/>
            <w:r>
              <w:rPr>
                <w:b/>
                <w:i w:val="0"/>
                <w:color w:val="000000"/>
                <w:sz w:val="14"/>
                <w:highlight w:val="yellow"/>
              </w:rPr>
              <w:t>{listed_equities_pct}</w:t>
            </w:r>
          </w:p>
        </w:tc>
        <w:tc>
          <w:tcPr>
            <w:tcW w:type="dxa" w:w="2131"/>
            <w:shd w:fill="F8FBFE"/>
            <w:vAlign w:val="center"/>
          </w:tcPr>
          <w:p>
            <w:pPr>
              <w:spacing w:after="0"/>
            </w:pPr>
            <w:r/>
            <w:r>
              <w:rPr>
                <w:b/>
                <w:i w:val="0"/>
                <w:color w:val="000000"/>
                <w:sz w:val="14"/>
                <w:highlight w:val="yellow"/>
              </w:rPr>
              <w:t>{listed_equities_risk_treatment}</w:t>
            </w:r>
          </w:p>
        </w:tc>
        <w:tc>
          <w:tcPr>
            <w:tcW w:type="dxa" w:w="2131"/>
            <w:shd w:fill="F8FBFE"/>
            <w:vAlign w:val="center"/>
          </w:tcPr>
          <w:p>
            <w:pPr>
              <w:spacing w:after="0"/>
            </w:pPr>
            <w:r/>
            <w:r>
              <w:rPr>
                <w:b/>
                <w:i w:val="0"/>
                <w:color w:val="000000"/>
                <w:sz w:val="14"/>
                <w:highlight w:val="yellow"/>
              </w:rPr>
              <w:t>{listed_equities_comment}</w:t>
            </w:r>
          </w:p>
        </w:tc>
      </w:tr>
      <w:tr>
        <w:tc>
          <w:tcPr>
            <w:tcW w:type="dxa" w:w="2131"/>
            <w:vAlign w:val="center"/>
          </w:tcPr>
          <w:p>
            <w:pPr>
              <w:spacing w:after="0"/>
            </w:pPr>
            <w:r/>
            <w:r>
              <w:rPr>
                <w:b w:val="0"/>
                <w:i w:val="0"/>
                <w:sz w:val="14"/>
              </w:rPr>
              <w:t>Money market instruments</w:t>
            </w:r>
          </w:p>
        </w:tc>
        <w:tc>
          <w:tcPr>
            <w:tcW w:type="dxa" w:w="2131"/>
            <w:vAlign w:val="center"/>
          </w:tcPr>
          <w:p>
            <w:pPr>
              <w:spacing w:after="0"/>
            </w:pPr>
            <w:r/>
            <w:r>
              <w:rPr>
                <w:b/>
                <w:i w:val="0"/>
                <w:color w:val="000000"/>
                <w:sz w:val="14"/>
                <w:highlight w:val="yellow"/>
              </w:rPr>
              <w:t>{money_market_exposure}</w:t>
            </w:r>
          </w:p>
        </w:tc>
        <w:tc>
          <w:tcPr>
            <w:tcW w:type="dxa" w:w="2131"/>
            <w:vAlign w:val="center"/>
          </w:tcPr>
          <w:p>
            <w:pPr>
              <w:spacing w:after="0"/>
            </w:pPr>
            <w:r/>
            <w:r>
              <w:rPr>
                <w:b/>
                <w:i w:val="0"/>
                <w:color w:val="000000"/>
                <w:sz w:val="14"/>
                <w:highlight w:val="yellow"/>
              </w:rPr>
              <w:t>{money_market_pct}</w:t>
            </w:r>
          </w:p>
        </w:tc>
        <w:tc>
          <w:tcPr>
            <w:tcW w:type="dxa" w:w="2131"/>
            <w:vAlign w:val="center"/>
          </w:tcPr>
          <w:p>
            <w:pPr>
              <w:spacing w:after="0"/>
            </w:pPr>
            <w:r/>
            <w:r>
              <w:rPr>
                <w:b/>
                <w:i w:val="0"/>
                <w:color w:val="000000"/>
                <w:sz w:val="14"/>
                <w:highlight w:val="yellow"/>
              </w:rPr>
              <w:t>{money_market_risk_treatment}</w:t>
            </w:r>
          </w:p>
        </w:tc>
        <w:tc>
          <w:tcPr>
            <w:tcW w:type="dxa" w:w="2131"/>
            <w:vAlign w:val="center"/>
          </w:tcPr>
          <w:p>
            <w:pPr>
              <w:spacing w:after="0"/>
            </w:pPr>
            <w:r/>
            <w:r>
              <w:rPr>
                <w:b/>
                <w:i w:val="0"/>
                <w:color w:val="000000"/>
                <w:sz w:val="14"/>
                <w:highlight w:val="yellow"/>
              </w:rPr>
              <w:t>{money_market_comment}</w:t>
            </w:r>
          </w:p>
        </w:tc>
      </w:tr>
      <w:tr>
        <w:tc>
          <w:tcPr>
            <w:tcW w:type="dxa" w:w="2131"/>
            <w:shd w:fill="F8FBFE"/>
            <w:vAlign w:val="center"/>
          </w:tcPr>
          <w:p>
            <w:pPr>
              <w:spacing w:after="0"/>
            </w:pPr>
            <w:r/>
            <w:r>
              <w:rPr>
                <w:b w:val="0"/>
                <w:i w:val="0"/>
                <w:sz w:val="14"/>
              </w:rPr>
              <w:t>Bonds / fixed income</w:t>
            </w:r>
          </w:p>
        </w:tc>
        <w:tc>
          <w:tcPr>
            <w:tcW w:type="dxa" w:w="2131"/>
            <w:shd w:fill="F8FBFE"/>
            <w:vAlign w:val="center"/>
          </w:tcPr>
          <w:p>
            <w:pPr>
              <w:spacing w:after="0"/>
            </w:pPr>
            <w:r/>
            <w:r>
              <w:rPr>
                <w:b/>
                <w:i w:val="0"/>
                <w:color w:val="000000"/>
                <w:sz w:val="14"/>
                <w:highlight w:val="yellow"/>
              </w:rPr>
              <w:t>{bonds_exposure}</w:t>
            </w:r>
          </w:p>
        </w:tc>
        <w:tc>
          <w:tcPr>
            <w:tcW w:type="dxa" w:w="2131"/>
            <w:shd w:fill="F8FBFE"/>
            <w:vAlign w:val="center"/>
          </w:tcPr>
          <w:p>
            <w:pPr>
              <w:spacing w:after="0"/>
            </w:pPr>
            <w:r/>
            <w:r>
              <w:rPr>
                <w:b/>
                <w:i w:val="0"/>
                <w:color w:val="000000"/>
                <w:sz w:val="14"/>
                <w:highlight w:val="yellow"/>
              </w:rPr>
              <w:t>{bonds_pct}</w:t>
            </w:r>
          </w:p>
        </w:tc>
        <w:tc>
          <w:tcPr>
            <w:tcW w:type="dxa" w:w="2131"/>
            <w:shd w:fill="F8FBFE"/>
            <w:vAlign w:val="center"/>
          </w:tcPr>
          <w:p>
            <w:pPr>
              <w:spacing w:after="0"/>
            </w:pPr>
            <w:r/>
            <w:r>
              <w:rPr>
                <w:b/>
                <w:i w:val="0"/>
                <w:color w:val="000000"/>
                <w:sz w:val="14"/>
                <w:highlight w:val="yellow"/>
              </w:rPr>
              <w:t>{bonds_risk_treatment}</w:t>
            </w:r>
          </w:p>
        </w:tc>
        <w:tc>
          <w:tcPr>
            <w:tcW w:type="dxa" w:w="2131"/>
            <w:shd w:fill="F8FBFE"/>
            <w:vAlign w:val="center"/>
          </w:tcPr>
          <w:p>
            <w:pPr>
              <w:spacing w:after="0"/>
            </w:pPr>
            <w:r/>
            <w:r>
              <w:rPr>
                <w:b/>
                <w:i w:val="0"/>
                <w:color w:val="000000"/>
                <w:sz w:val="14"/>
                <w:highlight w:val="yellow"/>
              </w:rPr>
              <w:t>{bonds_comment}</w:t>
            </w:r>
          </w:p>
        </w:tc>
      </w:tr>
      <w:tr>
        <w:tc>
          <w:tcPr>
            <w:tcW w:type="dxa" w:w="2131"/>
            <w:vAlign w:val="center"/>
          </w:tcPr>
          <w:p>
            <w:pPr>
              <w:spacing w:after="0"/>
            </w:pPr>
            <w:r/>
            <w:r>
              <w:rPr>
                <w:b w:val="0"/>
                <w:i w:val="0"/>
                <w:sz w:val="14"/>
              </w:rPr>
              <w:t>Unquoted / private investments</w:t>
            </w:r>
          </w:p>
        </w:tc>
        <w:tc>
          <w:tcPr>
            <w:tcW w:type="dxa" w:w="2131"/>
            <w:vAlign w:val="center"/>
          </w:tcPr>
          <w:p>
            <w:pPr>
              <w:spacing w:after="0"/>
            </w:pPr>
            <w:r/>
            <w:r>
              <w:rPr>
                <w:b/>
                <w:i w:val="0"/>
                <w:color w:val="000000"/>
                <w:sz w:val="14"/>
                <w:highlight w:val="yellow"/>
              </w:rPr>
              <w:t>{unquoted_exposure}</w:t>
            </w:r>
          </w:p>
        </w:tc>
        <w:tc>
          <w:tcPr>
            <w:tcW w:type="dxa" w:w="2131"/>
            <w:vAlign w:val="center"/>
          </w:tcPr>
          <w:p>
            <w:pPr>
              <w:spacing w:after="0"/>
            </w:pPr>
            <w:r/>
            <w:r>
              <w:rPr>
                <w:b/>
                <w:i w:val="0"/>
                <w:color w:val="000000"/>
                <w:sz w:val="14"/>
                <w:highlight w:val="yellow"/>
              </w:rPr>
              <w:t>{unquoted_pct}</w:t>
            </w:r>
          </w:p>
        </w:tc>
        <w:tc>
          <w:tcPr>
            <w:tcW w:type="dxa" w:w="2131"/>
            <w:vAlign w:val="center"/>
          </w:tcPr>
          <w:p>
            <w:pPr>
              <w:spacing w:after="0"/>
            </w:pPr>
            <w:r/>
            <w:r>
              <w:rPr>
                <w:b/>
                <w:i w:val="0"/>
                <w:color w:val="000000"/>
                <w:sz w:val="14"/>
                <w:highlight w:val="yellow"/>
              </w:rPr>
              <w:t>{unquoted_risk_treatment}</w:t>
            </w:r>
          </w:p>
        </w:tc>
        <w:tc>
          <w:tcPr>
            <w:tcW w:type="dxa" w:w="2131"/>
            <w:vAlign w:val="center"/>
          </w:tcPr>
          <w:p>
            <w:pPr>
              <w:spacing w:after="0"/>
            </w:pPr>
            <w:r/>
            <w:r>
              <w:rPr>
                <w:b/>
                <w:i w:val="0"/>
                <w:color w:val="000000"/>
                <w:sz w:val="14"/>
                <w:highlight w:val="yellow"/>
              </w:rPr>
              <w:t>{unquoted_comment}</w:t>
            </w:r>
          </w:p>
        </w:tc>
      </w:tr>
      <w:tr>
        <w:tc>
          <w:tcPr>
            <w:tcW w:type="dxa" w:w="2131"/>
            <w:shd w:fill="F8FBFE"/>
            <w:vAlign w:val="center"/>
          </w:tcPr>
          <w:p>
            <w:pPr>
              <w:spacing w:after="0"/>
            </w:pPr>
            <w:r/>
            <w:r>
              <w:rPr>
                <w:b w:val="0"/>
                <w:i w:val="0"/>
                <w:sz w:val="14"/>
              </w:rPr>
              <w:t>Property / other assets</w:t>
            </w:r>
          </w:p>
        </w:tc>
        <w:tc>
          <w:tcPr>
            <w:tcW w:type="dxa" w:w="2131"/>
            <w:shd w:fill="F8FBFE"/>
            <w:vAlign w:val="center"/>
          </w:tcPr>
          <w:p>
            <w:pPr>
              <w:spacing w:after="0"/>
            </w:pPr>
            <w:r/>
            <w:r>
              <w:rPr>
                <w:b/>
                <w:i w:val="0"/>
                <w:color w:val="000000"/>
                <w:sz w:val="14"/>
                <w:highlight w:val="yellow"/>
              </w:rPr>
              <w:t>{property_other_exposure}</w:t>
            </w:r>
          </w:p>
        </w:tc>
        <w:tc>
          <w:tcPr>
            <w:tcW w:type="dxa" w:w="2131"/>
            <w:shd w:fill="F8FBFE"/>
            <w:vAlign w:val="center"/>
          </w:tcPr>
          <w:p>
            <w:pPr>
              <w:spacing w:after="0"/>
            </w:pPr>
            <w:r/>
            <w:r>
              <w:rPr>
                <w:b/>
                <w:i w:val="0"/>
                <w:color w:val="000000"/>
                <w:sz w:val="14"/>
                <w:highlight w:val="yellow"/>
              </w:rPr>
              <w:t>{property_other_pct}</w:t>
            </w:r>
          </w:p>
        </w:tc>
        <w:tc>
          <w:tcPr>
            <w:tcW w:type="dxa" w:w="2131"/>
            <w:shd w:fill="F8FBFE"/>
            <w:vAlign w:val="center"/>
          </w:tcPr>
          <w:p>
            <w:pPr>
              <w:spacing w:after="0"/>
            </w:pPr>
            <w:r/>
            <w:r>
              <w:rPr>
                <w:b/>
                <w:i w:val="0"/>
                <w:color w:val="000000"/>
                <w:sz w:val="14"/>
                <w:highlight w:val="yellow"/>
              </w:rPr>
              <w:t>{property_other_risk_treatment}</w:t>
            </w:r>
          </w:p>
        </w:tc>
        <w:tc>
          <w:tcPr>
            <w:tcW w:type="dxa" w:w="2131"/>
            <w:shd w:fill="F8FBFE"/>
            <w:vAlign w:val="center"/>
          </w:tcPr>
          <w:p>
            <w:pPr>
              <w:spacing w:after="0"/>
            </w:pPr>
            <w:r/>
            <w:r>
              <w:rPr>
                <w:b/>
                <w:i w:val="0"/>
                <w:color w:val="000000"/>
                <w:sz w:val="14"/>
                <w:highlight w:val="yellow"/>
              </w:rPr>
              <w:t>{property_other_comment}</w:t>
            </w:r>
          </w:p>
        </w:tc>
      </w:tr>
      <w:tr>
        <w:tc>
          <w:tcPr>
            <w:tcW w:type="dxa" w:w="2131"/>
            <w:vAlign w:val="center"/>
          </w:tcPr>
          <w:p>
            <w:pPr>
              <w:spacing w:after="0"/>
            </w:pPr>
            <w:r/>
            <w:r>
              <w:rPr>
                <w:b w:val="0"/>
                <w:i w:val="0"/>
                <w:sz w:val="14"/>
              </w:rPr>
              <w:t>Issuer concentration: top 5</w:t>
            </w:r>
          </w:p>
        </w:tc>
        <w:tc>
          <w:tcPr>
            <w:tcW w:type="dxa" w:w="2131"/>
            <w:vAlign w:val="center"/>
          </w:tcPr>
          <w:p>
            <w:pPr>
              <w:spacing w:after="0"/>
            </w:pPr>
            <w:r/>
            <w:r>
              <w:rPr>
                <w:b/>
                <w:i w:val="0"/>
                <w:color w:val="000000"/>
                <w:sz w:val="14"/>
                <w:highlight w:val="yellow"/>
              </w:rPr>
              <w:t>{top_5_issuer_exposure}</w:t>
            </w:r>
          </w:p>
        </w:tc>
        <w:tc>
          <w:tcPr>
            <w:tcW w:type="dxa" w:w="2131"/>
            <w:vAlign w:val="center"/>
          </w:tcPr>
          <w:p>
            <w:pPr>
              <w:spacing w:after="0"/>
            </w:pPr>
            <w:r/>
            <w:r>
              <w:rPr>
                <w:b/>
                <w:i w:val="0"/>
                <w:color w:val="000000"/>
                <w:sz w:val="14"/>
                <w:highlight w:val="yellow"/>
              </w:rPr>
              <w:t>{top_5_issuer_pct}</w:t>
            </w:r>
          </w:p>
        </w:tc>
        <w:tc>
          <w:tcPr>
            <w:tcW w:type="dxa" w:w="2131"/>
            <w:vAlign w:val="center"/>
          </w:tcPr>
          <w:p>
            <w:pPr>
              <w:spacing w:after="0"/>
            </w:pPr>
            <w:r/>
            <w:r>
              <w:rPr>
                <w:b/>
                <w:i w:val="0"/>
                <w:color w:val="000000"/>
                <w:sz w:val="14"/>
                <w:highlight w:val="yellow"/>
              </w:rPr>
              <w:t>{issuer_concentration_treatment}</w:t>
            </w:r>
          </w:p>
        </w:tc>
        <w:tc>
          <w:tcPr>
            <w:tcW w:type="dxa" w:w="2131"/>
            <w:vAlign w:val="center"/>
          </w:tcPr>
          <w:p>
            <w:pPr>
              <w:spacing w:after="0"/>
            </w:pPr>
            <w:r/>
            <w:r>
              <w:rPr>
                <w:b/>
                <w:i w:val="0"/>
                <w:color w:val="000000"/>
                <w:sz w:val="14"/>
                <w:highlight w:val="yellow"/>
              </w:rPr>
              <w:t>{issuer_concentration_comment}</w:t>
            </w:r>
          </w:p>
        </w:tc>
      </w:tr>
      <w:tr>
        <w:tc>
          <w:tcPr>
            <w:tcW w:type="dxa" w:w="2131"/>
            <w:shd w:fill="F8FBFE"/>
            <w:vAlign w:val="center"/>
          </w:tcPr>
          <w:p>
            <w:pPr>
              <w:spacing w:after="0"/>
            </w:pPr>
            <w:r/>
            <w:r>
              <w:rPr>
                <w:b w:val="0"/>
                <w:i w:val="0"/>
                <w:sz w:val="14"/>
              </w:rPr>
              <w:t>Currency concentration</w:t>
            </w:r>
          </w:p>
        </w:tc>
        <w:tc>
          <w:tcPr>
            <w:tcW w:type="dxa" w:w="2131"/>
            <w:shd w:fill="F8FBFE"/>
            <w:vAlign w:val="center"/>
          </w:tcPr>
          <w:p>
            <w:pPr>
              <w:spacing w:after="0"/>
            </w:pPr>
            <w:r/>
            <w:r>
              <w:rPr>
                <w:b/>
                <w:i w:val="0"/>
                <w:color w:val="000000"/>
                <w:sz w:val="14"/>
                <w:highlight w:val="yellow"/>
              </w:rPr>
              <w:t>{currency_concentration_exposure}</w:t>
            </w:r>
          </w:p>
        </w:tc>
        <w:tc>
          <w:tcPr>
            <w:tcW w:type="dxa" w:w="2131"/>
            <w:shd w:fill="F8FBFE"/>
            <w:vAlign w:val="center"/>
          </w:tcPr>
          <w:p>
            <w:pPr>
              <w:spacing w:after="0"/>
            </w:pPr>
            <w:r/>
            <w:r>
              <w:rPr>
                <w:b/>
                <w:i w:val="0"/>
                <w:color w:val="000000"/>
                <w:sz w:val="14"/>
                <w:highlight w:val="yellow"/>
              </w:rPr>
              <w:t>{currency_concentration_pct}</w:t>
            </w:r>
          </w:p>
        </w:tc>
        <w:tc>
          <w:tcPr>
            <w:tcW w:type="dxa" w:w="2131"/>
            <w:shd w:fill="F8FBFE"/>
            <w:vAlign w:val="center"/>
          </w:tcPr>
          <w:p>
            <w:pPr>
              <w:spacing w:after="0"/>
            </w:pPr>
            <w:r/>
            <w:r>
              <w:rPr>
                <w:b/>
                <w:i w:val="0"/>
                <w:color w:val="000000"/>
                <w:sz w:val="14"/>
                <w:highlight w:val="yellow"/>
              </w:rPr>
              <w:t>{currency_concentration_treatment}</w:t>
            </w:r>
          </w:p>
        </w:tc>
        <w:tc>
          <w:tcPr>
            <w:tcW w:type="dxa" w:w="2131"/>
            <w:shd w:fill="F8FBFE"/>
            <w:vAlign w:val="center"/>
          </w:tcPr>
          <w:p>
            <w:pPr>
              <w:spacing w:after="0"/>
            </w:pPr>
            <w:r/>
            <w:r>
              <w:rPr>
                <w:b/>
                <w:i w:val="0"/>
                <w:color w:val="000000"/>
                <w:sz w:val="14"/>
                <w:highlight w:val="yellow"/>
              </w:rPr>
              <w:t>{currency_concentration_comment}</w:t>
            </w:r>
          </w:p>
        </w:tc>
      </w:tr>
    </w:tbl>
    <w:p>
      <w:pPr>
        <w:spacing w:after="80" w:line="240" w:lineRule="auto"/>
      </w:pPr>
    </w:p>
    <w:p>
      <w:pPr>
        <w:spacing w:before="200" w:after="120" w:line="240" w:lineRule="auto"/>
        <w:pBdr>
          <w:bottom w:val="single" w:sz="8" w:space="4" w:color="1E88E5"/>
        </w:pBdr>
      </w:pPr>
      <w:r>
        <w:rPr>
          <w:b/>
          <w:color w:val="071827"/>
          <w:sz w:val="28"/>
        </w:rPr>
        <w:t>11. Reconciliation to Source Modules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Reconciliation Area</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Source Module / Record</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Control Status</w:t>
            </w:r>
          </w:p>
        </w:tc>
        <w:tc>
          <w:tcPr>
            <w:tcW w:type="dxa" w:w="2664"/>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Reference</w:t>
            </w:r>
          </w:p>
        </w:tc>
      </w:tr>
      <w:tr>
        <w:tc>
          <w:tcPr>
            <w:tcW w:type="dxa" w:w="2664"/>
            <w:shd w:fill="F8FBFE"/>
            <w:vAlign w:val="center"/>
          </w:tcPr>
          <w:p>
            <w:pPr>
              <w:spacing w:after="0"/>
            </w:pPr>
            <w:r/>
            <w:r>
              <w:rPr>
                <w:b w:val="0"/>
                <w:i w:val="0"/>
                <w:sz w:val="14"/>
              </w:rPr>
              <w:t>Trial balance to management accounts</w:t>
            </w:r>
          </w:p>
        </w:tc>
        <w:tc>
          <w:tcPr>
            <w:tcW w:type="dxa" w:w="2664"/>
            <w:shd w:fill="F8FBFE"/>
            <w:vAlign w:val="center"/>
          </w:tcPr>
          <w:p>
            <w:pPr>
              <w:spacing w:after="0"/>
            </w:pPr>
            <w:r/>
            <w:r>
              <w:rPr>
                <w:b w:val="0"/>
                <w:i w:val="0"/>
                <w:sz w:val="14"/>
              </w:rPr>
              <w:t>Accounting</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{tb_management_accounts_exception_ref}</w:t>
            </w:r>
          </w:p>
        </w:tc>
      </w:tr>
      <w:tr>
        <w:tc>
          <w:tcPr>
            <w:tcW w:type="dxa" w:w="2664"/>
            <w:vAlign w:val="center"/>
          </w:tcPr>
          <w:p>
            <w:pPr>
              <w:spacing w:after="0"/>
            </w:pPr>
            <w:r/>
            <w:r>
              <w:rPr>
                <w:b w:val="0"/>
                <w:i w:val="0"/>
                <w:sz w:val="14"/>
              </w:rPr>
              <w:t>Management accounts to prudential return pack</w:t>
            </w:r>
          </w:p>
        </w:tc>
        <w:tc>
          <w:tcPr>
            <w:tcW w:type="dxa" w:w="2664"/>
            <w:vAlign w:val="center"/>
          </w:tcPr>
          <w:p>
            <w:pPr>
              <w:spacing w:after="0"/>
            </w:pPr>
            <w:r/>
            <w:r>
              <w:rPr>
                <w:b w:val="0"/>
                <w:i w:val="0"/>
                <w:sz w:val="14"/>
              </w:rPr>
              <w:t>Accounting / Reporting</w:t>
            </w:r>
          </w:p>
        </w:tc>
        <w:tc>
          <w:tcPr>
            <w:tcW w:type="dxa" w:w="2664"/>
            <w:vAlign w:val="center"/>
          </w:tcPr>
          <w:p>
            <w:pPr>
              <w:spacing w:after="0"/>
            </w:pPr>
            <w:r/>
            <w:r>
              <w:rPr>
                <w:b/>
                <w:i w:val="0"/>
                <w:color w:val="000000"/>
                <w:sz w:val="14"/>
                <w:highlight w:val="yellow"/>
              </w:rPr>
              <w:t>{reconciled_unreconciled}</w:t>
            </w:r>
          </w:p>
        </w:tc>
        <w:tc>
          <w:tcPr>
            <w:tcW w:type="dxa" w:w="2664"/>
            <w:vAlign w:val="center"/>
          </w:tcPr>
          <w:p>
            <w:pPr>
              <w:spacing w:after="0"/>
            </w:pPr>
            <w:r/>
            <w:r>
              <w:rPr>
                <w:b/>
                <w:i w:val="0"/>
                <w:color w:val="000000"/>
                <w:sz w:val="14"/>
                <w:highlight w:val="yellow"/>
              </w:rPr>
              <w:t>{prudential_return_exception_ref}</w:t>
            </w:r>
          </w:p>
        </w:tc>
      </w:tr>
      <w:tr>
        <w:tc>
          <w:tcPr>
            <w:tcW w:type="dxa" w:w="2664"/>
            <w:shd w:fill="F8FBFE"/>
            <w:vAlign w:val="center"/>
          </w:tcPr>
          <w:p>
            <w:pPr>
              <w:spacing w:after="0"/>
            </w:pPr>
            <w:r/>
            <w:r>
              <w:rPr>
                <w:b w:val="0"/>
                <w:i w:val="0"/>
                <w:sz w:val="14"/>
              </w:rPr>
              <w:t>Portfolio valuations to FUM/AUM schedule</w:t>
            </w:r>
          </w:p>
        </w:tc>
        <w:tc>
          <w:tcPr>
            <w:tcW w:type="dxa" w:w="2664"/>
            <w:shd w:fill="F8FBFE"/>
            <w:vAlign w:val="center"/>
          </w:tcPr>
          <w:p>
            <w:pPr>
              <w:spacing w:after="0"/>
            </w:pPr>
            <w:r/>
            <w:r>
              <w:rPr>
                <w:b w:val="0"/>
                <w:i w:val="0"/>
                <w:sz w:val="14"/>
              </w:rPr>
              <w:t>Stock Price Collector / Portfolio Valuation</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{valuation_fum_exception_ref}</w:t>
            </w:r>
          </w:p>
        </w:tc>
      </w:tr>
      <w:tr>
        <w:tc>
          <w:tcPr>
            <w:tcW w:type="dxa" w:w="2664"/>
            <w:vAlign w:val="center"/>
          </w:tcPr>
          <w:p>
            <w:pPr>
              <w:spacing w:after="0"/>
            </w:pPr>
            <w:r/>
            <w:r>
              <w:rPr>
                <w:b w:val="0"/>
                <w:i w:val="0"/>
                <w:sz w:val="14"/>
              </w:rPr>
              <w:t>Bank balances to bank statements</w:t>
            </w:r>
          </w:p>
        </w:tc>
        <w:tc>
          <w:tcPr>
            <w:tcW w:type="dxa" w:w="2664"/>
            <w:vAlign w:val="center"/>
          </w:tcPr>
          <w:p>
            <w:pPr>
              <w:spacing w:after="0"/>
            </w:pPr>
            <w:r/>
            <w:r>
              <w:rPr>
                <w:b w:val="0"/>
                <w:i w:val="0"/>
                <w:sz w:val="14"/>
              </w:rPr>
              <w:t>Accounting / Cashbook</w:t>
            </w:r>
          </w:p>
        </w:tc>
        <w:tc>
          <w:tcPr>
            <w:tcW w:type="dxa" w:w="2664"/>
            <w:vAlign w:val="center"/>
          </w:tcPr>
          <w:p>
            <w:pPr>
              <w:spacing w:after="0"/>
            </w:pPr>
            <w:r/>
            <w:r>
              <w:rPr>
                <w:b/>
                <w:i w:val="0"/>
                <w:color w:val="000000"/>
                <w:sz w:val="14"/>
                <w:highlight w:val="yellow"/>
              </w:rPr>
              <w:t>{reconciled_unreconciled}</w:t>
            </w:r>
          </w:p>
        </w:tc>
        <w:tc>
          <w:tcPr>
            <w:tcW w:type="dxa" w:w="2664"/>
            <w:vAlign w:val="center"/>
          </w:tcPr>
          <w:p>
            <w:pPr>
              <w:spacing w:after="0"/>
            </w:pPr>
            <w:r/>
            <w:r>
              <w:rPr>
                <w:b/>
                <w:i w:val="0"/>
                <w:color w:val="000000"/>
                <w:sz w:val="14"/>
                <w:highlight w:val="yellow"/>
              </w:rPr>
              <w:t>{bank_reconciliation_exception_ref}</w:t>
            </w:r>
          </w:p>
        </w:tc>
      </w:tr>
      <w:tr>
        <w:tc>
          <w:tcPr>
            <w:tcW w:type="dxa" w:w="2664"/>
            <w:shd w:fill="F8FBFE"/>
            <w:vAlign w:val="center"/>
          </w:tcPr>
          <w:p>
            <w:pPr>
              <w:spacing w:after="0"/>
            </w:pPr>
            <w:r/>
            <w:r>
              <w:rPr>
                <w:b w:val="0"/>
                <w:i w:val="0"/>
                <w:sz w:val="14"/>
              </w:rPr>
              <w:t>Receivables/payables to ageing schedules</w:t>
            </w:r>
          </w:p>
        </w:tc>
        <w:tc>
          <w:tcPr>
            <w:tcW w:type="dxa" w:w="2664"/>
            <w:shd w:fill="F8FBFE"/>
            <w:vAlign w:val="center"/>
          </w:tcPr>
          <w:p>
            <w:pPr>
              <w:spacing w:after="0"/>
            </w:pPr>
            <w:r/>
            <w:r>
              <w:rPr>
                <w:b w:val="0"/>
                <w:i w:val="0"/>
                <w:sz w:val="14"/>
              </w:rPr>
              <w:t>Accounting</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{ageing_exception_ref}</w:t>
            </w:r>
          </w:p>
        </w:tc>
      </w:tr>
      <w:tr>
        <w:tc>
          <w:tcPr>
            <w:tcW w:type="dxa" w:w="2664"/>
            <w:vAlign w:val="center"/>
          </w:tcPr>
          <w:p>
            <w:pPr>
              <w:spacing w:after="0"/>
            </w:pPr>
            <w:r/>
            <w:r>
              <w:rPr>
                <w:b w:val="0"/>
                <w:i w:val="0"/>
                <w:sz w:val="14"/>
              </w:rPr>
              <w:t>FX rates to approved FX table</w:t>
            </w:r>
          </w:p>
        </w:tc>
        <w:tc>
          <w:tcPr>
            <w:tcW w:type="dxa" w:w="2664"/>
            <w:vAlign w:val="center"/>
          </w:tcPr>
          <w:p>
            <w:pPr>
              <w:spacing w:after="0"/>
            </w:pPr>
            <w:r/>
            <w:r>
              <w:rPr>
                <w:b w:val="0"/>
                <w:i w:val="0"/>
                <w:sz w:val="14"/>
              </w:rPr>
              <w:t>Accounting / Market Data</w:t>
            </w:r>
          </w:p>
        </w:tc>
        <w:tc>
          <w:tcPr>
            <w:tcW w:type="dxa" w:w="2664"/>
            <w:vAlign w:val="center"/>
          </w:tcPr>
          <w:p>
            <w:pPr>
              <w:spacing w:after="0"/>
            </w:pPr>
            <w:r/>
            <w:r>
              <w:rPr>
                <w:b/>
                <w:i w:val="0"/>
                <w:color w:val="000000"/>
                <w:sz w:val="14"/>
                <w:highlight w:val="yellow"/>
              </w:rPr>
              <w:t>{reconciled_unreconciled}</w:t>
            </w:r>
          </w:p>
        </w:tc>
        <w:tc>
          <w:tcPr>
            <w:tcW w:type="dxa" w:w="2664"/>
            <w:vAlign w:val="center"/>
          </w:tcPr>
          <w:p>
            <w:pPr>
              <w:spacing w:after="0"/>
            </w:pPr>
            <w:r/>
            <w:r>
              <w:rPr>
                <w:b/>
                <w:i w:val="0"/>
                <w:color w:val="000000"/>
                <w:sz w:val="14"/>
                <w:highlight w:val="yellow"/>
              </w:rPr>
              <w:t>{fx_exception_ref}</w:t>
            </w:r>
          </w:p>
        </w:tc>
      </w:tr>
      <w:tr>
        <w:tc>
          <w:tcPr>
            <w:tcW w:type="dxa" w:w="2664"/>
            <w:shd w:fill="F8FBFE"/>
            <w:vAlign w:val="center"/>
          </w:tcPr>
          <w:p>
            <w:pPr>
              <w:spacing w:after="0"/>
            </w:pPr>
            <w:r/>
            <w:r>
              <w:rPr>
                <w:b w:val="0"/>
                <w:i w:val="0"/>
                <w:sz w:val="14"/>
              </w:rPr>
              <w:t>Capital adequacy schedules to report output</w:t>
            </w:r>
          </w:p>
        </w:tc>
        <w:tc>
          <w:tcPr>
            <w:tcW w:type="dxa" w:w="2664"/>
            <w:shd w:fill="F8FBFE"/>
            <w:vAlign w:val="center"/>
          </w:tcPr>
          <w:p>
            <w:pPr>
              <w:spacing w:after="0"/>
            </w:pPr>
            <w:r/>
            <w:r>
              <w:rPr>
                <w:b w:val="0"/>
                <w:i w:val="0"/>
                <w:sz w:val="14"/>
              </w:rPr>
              <w:t>Quarterly Reporting Module</w:t>
            </w:r>
          </w:p>
        </w:tc>
        <w:tc>
          <w:tcPr>
            <w:tcW w:type="dxa" w:w="2664"/>
            <w:shd w:fill="F8FBFE"/>
            <w:vAlign w:val="center"/>
          </w:tcPr>
          <w:p>
            <w:pPr>
              <w:spacing w:after="0"/>
            </w:pPr>
            <w:r/>
            <w:r>
              <w:rPr>
                <w:b/>
                <w:i w:val="0"/>
                <w:color w:val="000000"/>
                <w:sz w:val="14"/>
                <w:highlight w:val="yellow"/>
              </w:rPr>
              <w:t>{reconciled_unreconciled}</w:t>
            </w:r>
          </w:p>
        </w:tc>
        <w:tc>
          <w:tcPr>
            <w:tcW w:type="dxa" w:w="2664"/>
            <w:shd w:fill="F8FBFE"/>
            <w:vAlign w:val="center"/>
          </w:tcPr>
          <w:p>
            <w:pPr>
              <w:spacing w:after="0"/>
            </w:pPr>
            <w:r/>
            <w:r>
              <w:rPr>
                <w:b/>
                <w:i w:val="0"/>
                <w:color w:val="000000"/>
                <w:sz w:val="14"/>
                <w:highlight w:val="yellow"/>
              </w:rPr>
              <w:t>{reporting_output_exception_ref}</w:t>
            </w:r>
          </w:p>
        </w:tc>
      </w:tr>
    </w:tbl>
    <w:p>
      <w:pPr>
        <w:spacing w:after="80" w:line="240" w:lineRule="auto"/>
      </w:pPr>
    </w:p>
    <w:p>
      <w:pPr>
        <w:spacing w:before="200" w:after="120" w:line="240" w:lineRule="auto"/>
        <w:pBdr>
          <w:bottom w:val="single" w:sz="8" w:space="4" w:color="1E88E5"/>
        </w:pBdr>
      </w:pPr>
      <w:r>
        <w:rPr>
          <w:b/>
          <w:color w:val="071827"/>
          <w:sz w:val="28"/>
        </w:rPr>
        <w:t>12. Exceptions, Breaches and Remediation Plan</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Record every capital adequacy exception, late item, unresolved reconciliation difference, capital shortfall or governance breach. If there are no exceptions, state "None noted" and confirm who reviewed the position.</w:t>
            </w:r>
          </w:p>
        </w:tc>
      </w:tr>
    </w:tbl>
    <w:p>
      <w:pPr>
        <w:spacing w:after="40" w:line="240" w:lineRule="auto"/>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ID</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Exception / Breach</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Impact on CAR</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Owner</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Target Resolution Date</w:t>
            </w:r>
          </w:p>
        </w:tc>
        <w:tc>
          <w:tcPr>
            <w:tcW w:type="dxa" w:w="1776"/>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Status</w:t>
            </w:r>
          </w:p>
        </w:tc>
      </w:tr>
      <w:tr>
        <w:tc>
          <w:tcPr>
            <w:tcW w:type="dxa" w:w="1776"/>
            <w:shd w:fill="F8FBFE"/>
            <w:vAlign w:val="center"/>
          </w:tcPr>
          <w:p>
            <w:pPr>
              <w:spacing w:after="0"/>
            </w:pPr>
            <w:r/>
            <w:r>
              <w:rPr>
                <w:b/>
                <w:i w:val="0"/>
                <w:color w:val="000000"/>
                <w:sz w:val="14"/>
                <w:highlight w:val="yellow"/>
              </w:rPr>
              <w:t>{exception_id_1}</w:t>
            </w:r>
          </w:p>
        </w:tc>
        <w:tc>
          <w:tcPr>
            <w:tcW w:type="dxa" w:w="1776"/>
            <w:shd w:fill="F8FBFE"/>
            <w:vAlign w:val="center"/>
          </w:tcPr>
          <w:p>
            <w:pPr>
              <w:spacing w:after="0"/>
            </w:pPr>
            <w:r/>
            <w:r>
              <w:rPr>
                <w:b/>
                <w:i w:val="0"/>
                <w:color w:val="000000"/>
                <w:sz w:val="14"/>
                <w:highlight w:val="yellow"/>
              </w:rPr>
              <w:t>{exception_description_1}</w:t>
            </w:r>
          </w:p>
        </w:tc>
        <w:tc>
          <w:tcPr>
            <w:tcW w:type="dxa" w:w="1776"/>
            <w:shd w:fill="F8FBFE"/>
            <w:vAlign w:val="center"/>
          </w:tcPr>
          <w:p>
            <w:pPr>
              <w:spacing w:after="0"/>
            </w:pPr>
            <w:r/>
            <w:r>
              <w:rPr>
                <w:b/>
                <w:i w:val="0"/>
                <w:color w:val="000000"/>
                <w:sz w:val="14"/>
                <w:highlight w:val="yellow"/>
              </w:rPr>
              <w:t>{car_impact_1}</w:t>
            </w:r>
          </w:p>
        </w:tc>
        <w:tc>
          <w:tcPr>
            <w:tcW w:type="dxa" w:w="1776"/>
            <w:shd w:fill="F8FBFE"/>
            <w:vAlign w:val="center"/>
          </w:tcPr>
          <w:p>
            <w:pPr>
              <w:spacing w:after="0"/>
            </w:pPr>
            <w:r/>
            <w:r>
              <w:rPr>
                <w:b/>
                <w:i w:val="0"/>
                <w:color w:val="000000"/>
                <w:sz w:val="14"/>
                <w:highlight w:val="yellow"/>
              </w:rPr>
              <w:t>{exception_owner_1}</w:t>
            </w:r>
          </w:p>
        </w:tc>
        <w:tc>
          <w:tcPr>
            <w:tcW w:type="dxa" w:w="1776"/>
            <w:shd w:fill="F8FBFE"/>
            <w:vAlign w:val="center"/>
          </w:tcPr>
          <w:p>
            <w:pPr>
              <w:spacing w:after="0"/>
            </w:pPr>
            <w:r/>
            <w:r>
              <w:rPr>
                <w:b/>
                <w:i w:val="0"/>
                <w:color w:val="000000"/>
                <w:sz w:val="14"/>
                <w:highlight w:val="yellow"/>
              </w:rPr>
              <w:t>{target_resolution_date_1}</w:t>
            </w:r>
          </w:p>
        </w:tc>
        <w:tc>
          <w:tcPr>
            <w:tcW w:type="dxa" w:w="1776"/>
            <w:shd w:fill="F8FBFE"/>
            <w:vAlign w:val="center"/>
          </w:tcPr>
          <w:p>
            <w:pPr>
              <w:spacing w:after="0"/>
            </w:pPr>
            <w:r/>
            <w:r>
              <w:rPr>
                <w:b/>
                <w:i w:val="0"/>
                <w:color w:val="000000"/>
                <w:sz w:val="14"/>
                <w:highlight w:val="yellow"/>
              </w:rPr>
              <w:t>{exception_status_1}</w:t>
            </w:r>
          </w:p>
        </w:tc>
      </w:tr>
      <w:tr>
        <w:tc>
          <w:tcPr>
            <w:tcW w:type="dxa" w:w="1776"/>
            <w:vAlign w:val="center"/>
          </w:tcPr>
          <w:p>
            <w:pPr>
              <w:spacing w:after="0"/>
            </w:pPr>
            <w:r/>
            <w:r>
              <w:rPr>
                <w:b/>
                <w:i w:val="0"/>
                <w:color w:val="000000"/>
                <w:sz w:val="14"/>
                <w:highlight w:val="yellow"/>
              </w:rPr>
              <w:t>{exception_id_2}</w:t>
            </w:r>
          </w:p>
        </w:tc>
        <w:tc>
          <w:tcPr>
            <w:tcW w:type="dxa" w:w="1776"/>
            <w:vAlign w:val="center"/>
          </w:tcPr>
          <w:p>
            <w:pPr>
              <w:spacing w:after="0"/>
            </w:pPr>
            <w:r/>
            <w:r>
              <w:rPr>
                <w:b/>
                <w:i w:val="0"/>
                <w:color w:val="000000"/>
                <w:sz w:val="14"/>
                <w:highlight w:val="yellow"/>
              </w:rPr>
              <w:t>{exception_description_2}</w:t>
            </w:r>
          </w:p>
        </w:tc>
        <w:tc>
          <w:tcPr>
            <w:tcW w:type="dxa" w:w="1776"/>
            <w:vAlign w:val="center"/>
          </w:tcPr>
          <w:p>
            <w:pPr>
              <w:spacing w:after="0"/>
            </w:pPr>
            <w:r/>
            <w:r>
              <w:rPr>
                <w:b/>
                <w:i w:val="0"/>
                <w:color w:val="000000"/>
                <w:sz w:val="14"/>
                <w:highlight w:val="yellow"/>
              </w:rPr>
              <w:t>{car_impact_2}</w:t>
            </w:r>
          </w:p>
        </w:tc>
        <w:tc>
          <w:tcPr>
            <w:tcW w:type="dxa" w:w="1776"/>
            <w:vAlign w:val="center"/>
          </w:tcPr>
          <w:p>
            <w:pPr>
              <w:spacing w:after="0"/>
            </w:pPr>
            <w:r/>
            <w:r>
              <w:rPr>
                <w:b/>
                <w:i w:val="0"/>
                <w:color w:val="000000"/>
                <w:sz w:val="14"/>
                <w:highlight w:val="yellow"/>
              </w:rPr>
              <w:t>{exception_owner_2}</w:t>
            </w:r>
          </w:p>
        </w:tc>
        <w:tc>
          <w:tcPr>
            <w:tcW w:type="dxa" w:w="1776"/>
            <w:vAlign w:val="center"/>
          </w:tcPr>
          <w:p>
            <w:pPr>
              <w:spacing w:after="0"/>
            </w:pPr>
            <w:r/>
            <w:r>
              <w:rPr>
                <w:b/>
                <w:i w:val="0"/>
                <w:color w:val="000000"/>
                <w:sz w:val="14"/>
                <w:highlight w:val="yellow"/>
              </w:rPr>
              <w:t>{target_resolution_date_2}</w:t>
            </w:r>
          </w:p>
        </w:tc>
        <w:tc>
          <w:tcPr>
            <w:tcW w:type="dxa" w:w="1776"/>
            <w:vAlign w:val="center"/>
          </w:tcPr>
          <w:p>
            <w:pPr>
              <w:spacing w:after="0"/>
            </w:pPr>
            <w:r/>
            <w:r>
              <w:rPr>
                <w:b/>
                <w:i w:val="0"/>
                <w:color w:val="000000"/>
                <w:sz w:val="14"/>
                <w:highlight w:val="yellow"/>
              </w:rPr>
              <w:t>{exception_status_2}</w:t>
            </w:r>
          </w:p>
        </w:tc>
      </w:tr>
      <w:tr>
        <w:tc>
          <w:tcPr>
            <w:tcW w:type="dxa" w:w="1776"/>
            <w:shd w:fill="F8FBFE"/>
            <w:vAlign w:val="center"/>
          </w:tcPr>
          <w:p>
            <w:pPr>
              <w:spacing w:after="0"/>
            </w:pPr>
            <w:r/>
            <w:r>
              <w:rPr>
                <w:b/>
                <w:i w:val="0"/>
                <w:color w:val="000000"/>
                <w:sz w:val="14"/>
                <w:highlight w:val="yellow"/>
              </w:rPr>
              <w:t>{exception_id_3}</w:t>
            </w:r>
          </w:p>
        </w:tc>
        <w:tc>
          <w:tcPr>
            <w:tcW w:type="dxa" w:w="1776"/>
            <w:shd w:fill="F8FBFE"/>
            <w:vAlign w:val="center"/>
          </w:tcPr>
          <w:p>
            <w:pPr>
              <w:spacing w:after="0"/>
            </w:pPr>
            <w:r/>
            <w:r>
              <w:rPr>
                <w:b/>
                <w:i w:val="0"/>
                <w:color w:val="000000"/>
                <w:sz w:val="14"/>
                <w:highlight w:val="yellow"/>
              </w:rPr>
              <w:t>{exception_description_3}</w:t>
            </w:r>
          </w:p>
        </w:tc>
        <w:tc>
          <w:tcPr>
            <w:tcW w:type="dxa" w:w="1776"/>
            <w:shd w:fill="F8FBFE"/>
            <w:vAlign w:val="center"/>
          </w:tcPr>
          <w:p>
            <w:pPr>
              <w:spacing w:after="0"/>
            </w:pPr>
            <w:r/>
            <w:r>
              <w:rPr>
                <w:b/>
                <w:i w:val="0"/>
                <w:color w:val="000000"/>
                <w:sz w:val="14"/>
                <w:highlight w:val="yellow"/>
              </w:rPr>
              <w:t>{car_impact_3}</w:t>
            </w:r>
          </w:p>
        </w:tc>
        <w:tc>
          <w:tcPr>
            <w:tcW w:type="dxa" w:w="1776"/>
            <w:shd w:fill="F8FBFE"/>
            <w:vAlign w:val="center"/>
          </w:tcPr>
          <w:p>
            <w:pPr>
              <w:spacing w:after="0"/>
            </w:pPr>
            <w:r/>
            <w:r>
              <w:rPr>
                <w:b/>
                <w:i w:val="0"/>
                <w:color w:val="000000"/>
                <w:sz w:val="14"/>
                <w:highlight w:val="yellow"/>
              </w:rPr>
              <w:t>{exception_owner_3}</w:t>
            </w:r>
          </w:p>
        </w:tc>
        <w:tc>
          <w:tcPr>
            <w:tcW w:type="dxa" w:w="1776"/>
            <w:shd w:fill="F8FBFE"/>
            <w:vAlign w:val="center"/>
          </w:tcPr>
          <w:p>
            <w:pPr>
              <w:spacing w:after="0"/>
            </w:pPr>
            <w:r/>
            <w:r>
              <w:rPr>
                <w:b/>
                <w:i w:val="0"/>
                <w:color w:val="000000"/>
                <w:sz w:val="14"/>
                <w:highlight w:val="yellow"/>
              </w:rPr>
              <w:t>{target_resolution_date_3}</w:t>
            </w:r>
          </w:p>
        </w:tc>
        <w:tc>
          <w:tcPr>
            <w:tcW w:type="dxa" w:w="1776"/>
            <w:shd w:fill="F8FBFE"/>
            <w:vAlign w:val="center"/>
          </w:tcPr>
          <w:p>
            <w:pPr>
              <w:spacing w:after="0"/>
            </w:pPr>
            <w:r/>
            <w:r>
              <w:rPr>
                <w:b/>
                <w:i w:val="0"/>
                <w:color w:val="000000"/>
                <w:sz w:val="14"/>
                <w:highlight w:val="yellow"/>
              </w:rPr>
              <w:t>{exception_status_3}</w:t>
            </w:r>
          </w:p>
        </w:tc>
      </w:tr>
    </w:tbl>
    <w:p>
      <w:pPr>
        <w:spacing w:after="80" w:line="240" w:lineRule="auto"/>
      </w:pPr>
    </w:p>
    <w:p>
      <w:pPr>
        <w:spacing w:before="200" w:after="120" w:line="240" w:lineRule="auto"/>
        <w:pBdr>
          <w:bottom w:val="single" w:sz="8" w:space="4" w:color="1E88E5"/>
        </w:pBdr>
      </w:pPr>
      <w:r>
        <w:rPr>
          <w:b/>
          <w:color w:val="071827"/>
          <w:sz w:val="28"/>
        </w:rPr>
        <w:t>13. Supporting Documents Register</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Document / Evidence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Reference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Prepared By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Reviewed By</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Stored in Archive?</w:t>
            </w:r>
          </w:p>
        </w:tc>
      </w:tr>
      <w:tr>
        <w:tc>
          <w:tcPr>
            <w:tcW w:type="dxa" w:w="2131"/>
            <w:shd w:fill="F8FBFE"/>
            <w:vAlign w:val="center"/>
          </w:tcPr>
          <w:p>
            <w:pPr>
              <w:spacing w:after="0"/>
            </w:pPr>
            <w:r/>
            <w:r>
              <w:rPr>
                <w:b w:val="0"/>
                <w:i w:val="0"/>
                <w:sz w:val="14"/>
              </w:rPr>
              <w:t>Approved management accounts</w:t>
            </w:r>
          </w:p>
        </w:tc>
        <w:tc>
          <w:tcPr>
            <w:tcW w:type="dxa" w:w="2131"/>
            <w:shd w:fill="F8FBFE"/>
            <w:vAlign w:val="center"/>
          </w:tcPr>
          <w:p>
            <w:pPr>
              <w:spacing w:after="0"/>
            </w:pPr>
            <w:r/>
            <w:r>
              <w:rPr>
                <w:b/>
                <w:i w:val="0"/>
                <w:color w:val="000000"/>
                <w:sz w:val="14"/>
                <w:highlight w:val="yellow"/>
              </w:rPr>
              <w:t>{management_accounts_reference}</w:t>
            </w:r>
          </w:p>
        </w:tc>
        <w:tc>
          <w:tcPr>
            <w:tcW w:type="dxa" w:w="2131"/>
            <w:shd w:fill="F8FBFE"/>
            <w:vAlign w:val="center"/>
          </w:tcPr>
          <w:p>
            <w:pPr>
              <w:spacing w:after="0"/>
            </w:pPr>
            <w:r/>
            <w:r>
              <w:rPr>
                <w:b/>
                <w:i w:val="0"/>
                <w:color w:val="000000"/>
                <w:sz w:val="14"/>
                <w:highlight w:val="yellow"/>
              </w:rPr>
              <w:t>{management_accounts_preparer}</w:t>
            </w:r>
          </w:p>
        </w:tc>
        <w:tc>
          <w:tcPr>
            <w:tcW w:type="dxa" w:w="2131"/>
            <w:shd w:fill="F8FBFE"/>
            <w:vAlign w:val="center"/>
          </w:tcPr>
          <w:p>
            <w:pPr>
              <w:spacing w:after="0"/>
            </w:pPr>
            <w:r/>
            <w:r>
              <w:rPr>
                <w:b/>
                <w:i w:val="0"/>
                <w:color w:val="000000"/>
                <w:sz w:val="14"/>
                <w:highlight w:val="yellow"/>
              </w:rPr>
              <w:t>{management_accounts_reviewer}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Trial balance / ledger extract</w:t>
            </w:r>
          </w:p>
        </w:tc>
        <w:tc>
          <w:tcPr>
            <w:tcW w:type="dxa" w:w="2131"/>
            <w:vAlign w:val="center"/>
          </w:tcPr>
          <w:p>
            <w:pPr>
              <w:spacing w:after="0"/>
            </w:pPr>
            <w:r/>
            <w:r>
              <w:rPr>
                <w:b/>
                <w:i w:val="0"/>
                <w:color w:val="000000"/>
                <w:sz w:val="14"/>
                <w:highlight w:val="yellow"/>
              </w:rPr>
              <w:t>{trial_balance_reference}</w:t>
            </w:r>
          </w:p>
        </w:tc>
        <w:tc>
          <w:tcPr>
            <w:tcW w:type="dxa" w:w="2131"/>
            <w:vAlign w:val="center"/>
          </w:tcPr>
          <w:p>
            <w:pPr>
              <w:spacing w:after="0"/>
            </w:pPr>
            <w:r/>
            <w:r>
              <w:rPr>
                <w:b/>
                <w:i w:val="0"/>
                <w:color w:val="000000"/>
                <w:sz w:val="14"/>
                <w:highlight w:val="yellow"/>
              </w:rPr>
              <w:t>{trial_balance_preparer}</w:t>
            </w:r>
          </w:p>
        </w:tc>
        <w:tc>
          <w:tcPr>
            <w:tcW w:type="dxa" w:w="2131"/>
            <w:vAlign w:val="center"/>
          </w:tcPr>
          <w:p>
            <w:pPr>
              <w:spacing w:after="0"/>
            </w:pPr>
            <w:r/>
            <w:r>
              <w:rPr>
                <w:b/>
                <w:i w:val="0"/>
                <w:color w:val="000000"/>
                <w:sz w:val="14"/>
                <w:highlight w:val="yellow"/>
              </w:rPr>
              <w:t>{trial_balance_reviewer}</w:t>
            </w:r>
          </w:p>
        </w:tc>
        <w:tc>
          <w:tcPr>
            <w:tcW w:type="dxa" w:w="2131"/>
            <w:vAlign w:val="center"/>
          </w:tcPr>
          <w:p>
            <w:pPr>
              <w:spacing w:after="0"/>
            </w:pPr>
            <w:r/>
            <w:r>
              <w:rPr>
                <w:b/>
                <w:i w:val="0"/>
                <w:color w:val="000000"/>
                <w:sz w:val="14"/>
                <w:highlight w:val="yellow"/>
              </w:rPr>
              <w:t>{yes_no}</w:t>
            </w:r>
          </w:p>
        </w:tc>
      </w:tr>
      <w:tr>
        <w:tc>
          <w:tcPr>
            <w:tcW w:type="dxa" w:w="2131"/>
            <w:shd w:fill="F8FBFE"/>
            <w:vAlign w:val="center"/>
          </w:tcPr>
          <w:p>
            <w:pPr>
              <w:spacing w:after="0"/>
            </w:pPr>
            <w:r/>
            <w:r>
              <w:rPr>
                <w:b w:val="0"/>
                <w:i w:val="0"/>
                <w:sz w:val="14"/>
              </w:rPr>
              <w:t>Bank statements and reconciliations</w:t>
            </w:r>
          </w:p>
        </w:tc>
        <w:tc>
          <w:tcPr>
            <w:tcW w:type="dxa" w:w="2131"/>
            <w:shd w:fill="F8FBFE"/>
            <w:vAlign w:val="center"/>
          </w:tcPr>
          <w:p>
            <w:pPr>
              <w:spacing w:after="0"/>
            </w:pPr>
            <w:r/>
            <w:r>
              <w:rPr>
                <w:b/>
                <w:i w:val="0"/>
                <w:color w:val="000000"/>
                <w:sz w:val="14"/>
                <w:highlight w:val="yellow"/>
              </w:rPr>
              <w:t>{bank_reconciliation_reference}</w:t>
            </w:r>
          </w:p>
        </w:tc>
        <w:tc>
          <w:tcPr>
            <w:tcW w:type="dxa" w:w="2131"/>
            <w:shd w:fill="F8FBFE"/>
            <w:vAlign w:val="center"/>
          </w:tcPr>
          <w:p>
            <w:pPr>
              <w:spacing w:after="0"/>
            </w:pPr>
            <w:r/>
            <w:r>
              <w:rPr>
                <w:b/>
                <w:i w:val="0"/>
                <w:color w:val="000000"/>
                <w:sz w:val="14"/>
                <w:highlight w:val="yellow"/>
              </w:rPr>
              <w:t>{bank_reconciliation_preparer}</w:t>
            </w:r>
          </w:p>
        </w:tc>
        <w:tc>
          <w:tcPr>
            <w:tcW w:type="dxa" w:w="2131"/>
            <w:shd w:fill="F8FBFE"/>
            <w:vAlign w:val="center"/>
          </w:tcPr>
          <w:p>
            <w:pPr>
              <w:spacing w:after="0"/>
            </w:pPr>
            <w:r/>
            <w:r>
              <w:rPr>
                <w:b/>
                <w:i w:val="0"/>
                <w:color w:val="000000"/>
                <w:sz w:val="14"/>
                <w:highlight w:val="yellow"/>
              </w:rPr>
              <w:t>{bank_reconciliation_reviewer}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Portfolio valuation report</w:t>
            </w:r>
          </w:p>
        </w:tc>
        <w:tc>
          <w:tcPr>
            <w:tcW w:type="dxa" w:w="2131"/>
            <w:vAlign w:val="center"/>
          </w:tcPr>
          <w:p>
            <w:pPr>
              <w:spacing w:after="0"/>
            </w:pPr>
            <w:r/>
            <w:r>
              <w:rPr>
                <w:b/>
                <w:i w:val="0"/>
                <w:color w:val="000000"/>
                <w:sz w:val="14"/>
                <w:highlight w:val="yellow"/>
              </w:rPr>
              <w:t>{portfolio_valuation_reference}</w:t>
            </w:r>
          </w:p>
        </w:tc>
        <w:tc>
          <w:tcPr>
            <w:tcW w:type="dxa" w:w="2131"/>
            <w:vAlign w:val="center"/>
          </w:tcPr>
          <w:p>
            <w:pPr>
              <w:spacing w:after="0"/>
            </w:pPr>
            <w:r/>
            <w:r>
              <w:rPr>
                <w:b/>
                <w:i w:val="0"/>
                <w:color w:val="000000"/>
                <w:sz w:val="14"/>
                <w:highlight w:val="yellow"/>
              </w:rPr>
              <w:t>{portfolio_valuation_preparer}</w:t>
            </w:r>
          </w:p>
        </w:tc>
        <w:tc>
          <w:tcPr>
            <w:tcW w:type="dxa" w:w="2131"/>
            <w:vAlign w:val="center"/>
          </w:tcPr>
          <w:p>
            <w:pPr>
              <w:spacing w:after="0"/>
            </w:pPr>
            <w:r/>
            <w:r>
              <w:rPr>
                <w:b/>
                <w:i w:val="0"/>
                <w:color w:val="000000"/>
                <w:sz w:val="14"/>
                <w:highlight w:val="yellow"/>
              </w:rPr>
              <w:t>{portfolio_valuation_reviewer}</w:t>
            </w:r>
          </w:p>
        </w:tc>
        <w:tc>
          <w:tcPr>
            <w:tcW w:type="dxa" w:w="2131"/>
            <w:vAlign w:val="center"/>
          </w:tcPr>
          <w:p>
            <w:pPr>
              <w:spacing w:after="0"/>
            </w:pPr>
            <w:r/>
            <w:r>
              <w:rPr>
                <w:b/>
                <w:i w:val="0"/>
                <w:color w:val="000000"/>
                <w:sz w:val="14"/>
                <w:highlight w:val="yellow"/>
              </w:rPr>
              <w:t>{yes_no}</w:t>
            </w:r>
          </w:p>
        </w:tc>
      </w:tr>
      <w:tr>
        <w:tc>
          <w:tcPr>
            <w:tcW w:type="dxa" w:w="2131"/>
            <w:shd w:fill="F8FBFE"/>
            <w:vAlign w:val="center"/>
          </w:tcPr>
          <w:p>
            <w:pPr>
              <w:spacing w:after="0"/>
            </w:pPr>
            <w:r/>
            <w:r>
              <w:rPr>
                <w:b w:val="0"/>
                <w:i w:val="0"/>
                <w:sz w:val="14"/>
              </w:rPr>
              <w:t>FUM / AUM movement report</w:t>
            </w:r>
          </w:p>
        </w:tc>
        <w:tc>
          <w:tcPr>
            <w:tcW w:type="dxa" w:w="2131"/>
            <w:shd w:fill="F8FBFE"/>
            <w:vAlign w:val="center"/>
          </w:tcPr>
          <w:p>
            <w:pPr>
              <w:spacing w:after="0"/>
            </w:pPr>
            <w:r/>
            <w:r>
              <w:rPr>
                <w:b/>
                <w:i w:val="0"/>
                <w:color w:val="000000"/>
                <w:sz w:val="14"/>
                <w:highlight w:val="yellow"/>
              </w:rPr>
              <w:t>{aum_fum_report_reference}</w:t>
            </w:r>
          </w:p>
        </w:tc>
        <w:tc>
          <w:tcPr>
            <w:tcW w:type="dxa" w:w="2131"/>
            <w:shd w:fill="F8FBFE"/>
            <w:vAlign w:val="center"/>
          </w:tcPr>
          <w:p>
            <w:pPr>
              <w:spacing w:after="0"/>
            </w:pPr>
            <w:r/>
            <w:r>
              <w:rPr>
                <w:b/>
                <w:i w:val="0"/>
                <w:color w:val="000000"/>
                <w:sz w:val="14"/>
                <w:highlight w:val="yellow"/>
              </w:rPr>
              <w:t>{aum_fum_preparer}</w:t>
            </w:r>
          </w:p>
        </w:tc>
        <w:tc>
          <w:tcPr>
            <w:tcW w:type="dxa" w:w="2131"/>
            <w:shd w:fill="F8FBFE"/>
            <w:vAlign w:val="center"/>
          </w:tcPr>
          <w:p>
            <w:pPr>
              <w:spacing w:after="0"/>
            </w:pPr>
            <w:r/>
            <w:r>
              <w:rPr>
                <w:b/>
                <w:i w:val="0"/>
                <w:color w:val="000000"/>
                <w:sz w:val="14"/>
                <w:highlight w:val="yellow"/>
              </w:rPr>
              <w:t>{aum_fum_reviewer}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Receivables and payables ageing</w:t>
            </w:r>
          </w:p>
        </w:tc>
        <w:tc>
          <w:tcPr>
            <w:tcW w:type="dxa" w:w="2131"/>
            <w:vAlign w:val="center"/>
          </w:tcPr>
          <w:p>
            <w:pPr>
              <w:spacing w:after="0"/>
            </w:pPr>
            <w:r/>
            <w:r>
              <w:rPr>
                <w:b/>
                <w:i w:val="0"/>
                <w:color w:val="000000"/>
                <w:sz w:val="14"/>
                <w:highlight w:val="yellow"/>
              </w:rPr>
              <w:t>{ageing_schedule_reference}</w:t>
            </w:r>
          </w:p>
        </w:tc>
        <w:tc>
          <w:tcPr>
            <w:tcW w:type="dxa" w:w="2131"/>
            <w:vAlign w:val="center"/>
          </w:tcPr>
          <w:p>
            <w:pPr>
              <w:spacing w:after="0"/>
            </w:pPr>
            <w:r/>
            <w:r>
              <w:rPr>
                <w:b/>
                <w:i w:val="0"/>
                <w:color w:val="000000"/>
                <w:sz w:val="14"/>
                <w:highlight w:val="yellow"/>
              </w:rPr>
              <w:t>{ageing_preparer}</w:t>
            </w:r>
          </w:p>
        </w:tc>
        <w:tc>
          <w:tcPr>
            <w:tcW w:type="dxa" w:w="2131"/>
            <w:vAlign w:val="center"/>
          </w:tcPr>
          <w:p>
            <w:pPr>
              <w:spacing w:after="0"/>
            </w:pPr>
            <w:r/>
            <w:r>
              <w:rPr>
                <w:b/>
                <w:i w:val="0"/>
                <w:color w:val="000000"/>
                <w:sz w:val="14"/>
                <w:highlight w:val="yellow"/>
              </w:rPr>
              <w:t>{ageing_reviewer}</w:t>
            </w:r>
          </w:p>
        </w:tc>
        <w:tc>
          <w:tcPr>
            <w:tcW w:type="dxa" w:w="2131"/>
            <w:vAlign w:val="center"/>
          </w:tcPr>
          <w:p>
            <w:pPr>
              <w:spacing w:after="0"/>
            </w:pPr>
            <w:r/>
            <w:r>
              <w:rPr>
                <w:b/>
                <w:i w:val="0"/>
                <w:color w:val="000000"/>
                <w:sz w:val="14"/>
                <w:highlight w:val="yellow"/>
              </w:rPr>
              <w:t>{yes_no}</w:t>
            </w:r>
          </w:p>
        </w:tc>
      </w:tr>
      <w:tr>
        <w:tc>
          <w:tcPr>
            <w:tcW w:type="dxa" w:w="2131"/>
            <w:shd w:fill="F8FBFE"/>
            <w:vAlign w:val="center"/>
          </w:tcPr>
          <w:p>
            <w:pPr>
              <w:spacing w:after="0"/>
            </w:pPr>
            <w:r/>
            <w:r>
              <w:rPr>
                <w:b w:val="0"/>
                <w:i w:val="0"/>
                <w:sz w:val="14"/>
              </w:rPr>
              <w:t>Liquidity schedule</w:t>
            </w:r>
          </w:p>
        </w:tc>
        <w:tc>
          <w:tcPr>
            <w:tcW w:type="dxa" w:w="2131"/>
            <w:shd w:fill="F8FBFE"/>
            <w:vAlign w:val="center"/>
          </w:tcPr>
          <w:p>
            <w:pPr>
              <w:spacing w:after="0"/>
            </w:pPr>
            <w:r/>
            <w:r>
              <w:rPr>
                <w:b/>
                <w:i w:val="0"/>
                <w:color w:val="000000"/>
                <w:sz w:val="14"/>
                <w:highlight w:val="yellow"/>
              </w:rPr>
              <w:t>{liquidity_schedule_reference}</w:t>
            </w:r>
          </w:p>
        </w:tc>
        <w:tc>
          <w:tcPr>
            <w:tcW w:type="dxa" w:w="2131"/>
            <w:shd w:fill="F8FBFE"/>
            <w:vAlign w:val="center"/>
          </w:tcPr>
          <w:p>
            <w:pPr>
              <w:spacing w:after="0"/>
            </w:pPr>
            <w:r/>
            <w:r>
              <w:rPr>
                <w:b/>
                <w:i w:val="0"/>
                <w:color w:val="000000"/>
                <w:sz w:val="14"/>
                <w:highlight w:val="yellow"/>
              </w:rPr>
              <w:t>{liquidity_preparer}</w:t>
            </w:r>
          </w:p>
        </w:tc>
        <w:tc>
          <w:tcPr>
            <w:tcW w:type="dxa" w:w="2131"/>
            <w:shd w:fill="F8FBFE"/>
            <w:vAlign w:val="center"/>
          </w:tcPr>
          <w:p>
            <w:pPr>
              <w:spacing w:after="0"/>
            </w:pPr>
            <w:r/>
            <w:r>
              <w:rPr>
                <w:b/>
                <w:i w:val="0"/>
                <w:color w:val="000000"/>
                <w:sz w:val="14"/>
                <w:highlight w:val="yellow"/>
              </w:rPr>
              <w:t>{liquidity_reviewer}</w:t>
            </w:r>
          </w:p>
        </w:tc>
        <w:tc>
          <w:tcPr>
            <w:tcW w:type="dxa" w:w="2131"/>
            <w:shd w:fill="F8FBFE"/>
            <w:vAlign w:val="center"/>
          </w:tcPr>
          <w:p>
            <w:pPr>
              <w:spacing w:after="0"/>
            </w:pPr>
            <w:r/>
            <w:r>
              <w:rPr>
                <w:b/>
                <w:i w:val="0"/>
                <w:color w:val="000000"/>
                <w:sz w:val="14"/>
                <w:highlight w:val="yellow"/>
              </w:rPr>
              <w:t>{yes_no}</w:t>
            </w:r>
          </w:p>
        </w:tc>
      </w:tr>
      <w:tr>
        <w:tc>
          <w:tcPr>
            <w:tcW w:type="dxa" w:w="2131"/>
            <w:vAlign w:val="center"/>
          </w:tcPr>
          <w:p>
            <w:pPr>
              <w:spacing w:after="0"/>
            </w:pPr>
            <w:r/>
            <w:r>
              <w:rPr>
                <w:b w:val="0"/>
                <w:i w:val="0"/>
                <w:sz w:val="14"/>
              </w:rPr>
              <w:t>Board / management capital action record</w:t>
            </w:r>
          </w:p>
        </w:tc>
        <w:tc>
          <w:tcPr>
            <w:tcW w:type="dxa" w:w="2131"/>
            <w:vAlign w:val="center"/>
          </w:tcPr>
          <w:p>
            <w:pPr>
              <w:spacing w:after="0"/>
            </w:pPr>
            <w:r/>
            <w:r>
              <w:rPr>
                <w:b/>
                <w:i w:val="0"/>
                <w:color w:val="000000"/>
                <w:sz w:val="14"/>
                <w:highlight w:val="yellow"/>
              </w:rPr>
              <w:t>{capital_action_record_reference}</w:t>
            </w:r>
          </w:p>
        </w:tc>
        <w:tc>
          <w:tcPr>
            <w:tcW w:type="dxa" w:w="2131"/>
            <w:vAlign w:val="center"/>
          </w:tcPr>
          <w:p>
            <w:pPr>
              <w:spacing w:after="0"/>
            </w:pPr>
            <w:r/>
            <w:r>
              <w:rPr>
                <w:b/>
                <w:i w:val="0"/>
                <w:color w:val="000000"/>
                <w:sz w:val="14"/>
                <w:highlight w:val="yellow"/>
              </w:rPr>
              <w:t>{capital_action_preparer}</w:t>
            </w:r>
          </w:p>
        </w:tc>
        <w:tc>
          <w:tcPr>
            <w:tcW w:type="dxa" w:w="2131"/>
            <w:vAlign w:val="center"/>
          </w:tcPr>
          <w:p>
            <w:pPr>
              <w:spacing w:after="0"/>
            </w:pPr>
            <w:r/>
            <w:r>
              <w:rPr>
                <w:b/>
                <w:i w:val="0"/>
                <w:color w:val="000000"/>
                <w:sz w:val="14"/>
                <w:highlight w:val="yellow"/>
              </w:rPr>
              <w:t>{capital_action_reviewer}</w:t>
            </w:r>
          </w:p>
        </w:tc>
        <w:tc>
          <w:tcPr>
            <w:tcW w:type="dxa" w:w="2131"/>
            <w:vAlign w:val="center"/>
          </w:tcPr>
          <w:p>
            <w:pPr>
              <w:spacing w:after="0"/>
            </w:pPr>
            <w:r/>
            <w:r>
              <w:rPr>
                <w:b/>
                <w:i w:val="0"/>
                <w:color w:val="000000"/>
                <w:sz w:val="14"/>
                <w:highlight w:val="yellow"/>
              </w:rPr>
              <w:t>{yes_no}</w:t>
            </w:r>
          </w:p>
        </w:tc>
      </w:tr>
    </w:tbl>
    <w:p>
      <w:pPr>
        <w:spacing w:after="80" w:line="240" w:lineRule="auto"/>
      </w:pPr>
    </w:p>
    <w:p>
      <w:pPr>
        <w:spacing w:before="200" w:after="120" w:line="240" w:lineRule="auto"/>
        <w:pBdr>
          <w:bottom w:val="single" w:sz="8" w:space="4" w:color="1E88E5"/>
        </w:pBdr>
      </w:pPr>
      <w:r>
        <w:rPr>
          <w:b/>
          <w:color w:val="071827"/>
          <w:sz w:val="28"/>
        </w:rPr>
        <w:t>14. Approval, Certification and Submission Controls</w:t>
      </w:r>
    </w:p>
    <w:tbl>
      <w:tblPr>
        <w:tblW w:type="auto" w:w="0"/>
        <w:jc w:val="center"/>
        <w:tblLook w:firstColumn="1" w:firstRow="1" w:lastColumn="0" w:lastRow="0" w:noHBand="0" w:noVBand="1" w:val="04A0"/>
      </w:tblPr>
      <w:tblGrid>
        <w:gridCol w:w="10656"/>
      </w:tblGrid>
      <w:tr>
        <w:tc>
          <w:tcPr>
            <w:tcW w:type="dxa" w:w="10656"/>
            <w:tcBorders>
              <w:top w:sz="4" w:val="single" w:color="8BB9E8"/>
              <w:left w:sz="4" w:val="single" w:color="8BB9E8"/>
              <w:bottom w:sz="4" w:val="single" w:color="8BB9E8"/>
              <w:right w:sz="4" w:val="single" w:color="8BB9E8"/>
            </w:tcBorders>
            <w:shd w:fill="DDEEFF"/>
          </w:tcPr>
          <w:p>
            <w:pPr>
              <w:spacing w:after="0"/>
            </w:pPr>
            <w:r>
              <w:rPr>
                <w:b/>
                <w:color w:val="071827"/>
                <w:sz w:val="17"/>
              </w:rPr>
              <w:t xml:space="preserve">INSTRUCTION: </w:t>
            </w:r>
            <w:r>
              <w:rPr>
                <w:b w:val="0"/>
                <w:i w:val="0"/>
                <w:color w:val="071827"/>
                <w:sz w:val="17"/>
              </w:rPr>
              <w:t>Complete these approval blocks only after the capital adequacy schedules have been reconciled to the approved trial balance, management accounts and regulatory return pack. Maker and checker must not be the same user.</w:t>
            </w:r>
          </w:p>
        </w:tc>
      </w:tr>
    </w:tbl>
    <w:p>
      <w:pPr>
        <w:spacing w:after="40" w:line="240"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Role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Name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Designation</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Date</w:t>
            </w:r>
          </w:p>
        </w:tc>
        <w:tc>
          <w:tcPr>
            <w:tcW w:type="dxa" w:w="2131"/>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Signature / System Approval</w:t>
            </w:r>
          </w:p>
        </w:tc>
      </w:tr>
      <w:tr>
        <w:tc>
          <w:tcPr>
            <w:tcW w:type="dxa" w:w="2131"/>
            <w:shd w:fill="F8FBFE"/>
            <w:vAlign w:val="center"/>
          </w:tcPr>
          <w:p>
            <w:pPr>
              <w:spacing w:after="0"/>
            </w:pPr>
            <w:r/>
            <w:r>
              <w:rPr>
                <w:b w:val="0"/>
                <w:i w:val="0"/>
                <w:sz w:val="15"/>
              </w:rPr>
              <w:t>Prepared by - Maker</w:t>
            </w:r>
          </w:p>
        </w:tc>
        <w:tc>
          <w:tcPr>
            <w:tcW w:type="dxa" w:w="2131"/>
            <w:shd w:fill="F8FBFE"/>
            <w:vAlign w:val="center"/>
          </w:tcPr>
          <w:p>
            <w:pPr>
              <w:spacing w:after="0"/>
            </w:pPr>
            <w:r/>
            <w:r>
              <w:rPr>
                <w:b/>
                <w:i w:val="0"/>
                <w:color w:val="000000"/>
                <w:sz w:val="15"/>
                <w:highlight w:val="yellow"/>
              </w:rPr>
              <w:t>{maker_name}</w:t>
            </w:r>
          </w:p>
        </w:tc>
        <w:tc>
          <w:tcPr>
            <w:tcW w:type="dxa" w:w="2131"/>
            <w:shd w:fill="F8FBFE"/>
            <w:vAlign w:val="center"/>
          </w:tcPr>
          <w:p>
            <w:pPr>
              <w:spacing w:after="0"/>
            </w:pPr>
            <w:r/>
            <w:r>
              <w:rPr>
                <w:b/>
                <w:i w:val="0"/>
                <w:color w:val="000000"/>
                <w:sz w:val="15"/>
                <w:highlight w:val="yellow"/>
              </w:rPr>
              <w:t>{maker_designation}</w:t>
            </w:r>
          </w:p>
        </w:tc>
        <w:tc>
          <w:tcPr>
            <w:tcW w:type="dxa" w:w="2131"/>
            <w:shd w:fill="F8FBFE"/>
            <w:vAlign w:val="center"/>
          </w:tcPr>
          <w:p>
            <w:pPr>
              <w:spacing w:after="0"/>
            </w:pPr>
            <w:r/>
            <w:r>
              <w:rPr>
                <w:b/>
                <w:i w:val="0"/>
                <w:color w:val="000000"/>
                <w:sz w:val="15"/>
                <w:highlight w:val="yellow"/>
              </w:rPr>
              <w:t>{maker_preparation_date}</w:t>
            </w:r>
          </w:p>
        </w:tc>
        <w:tc>
          <w:tcPr>
            <w:tcW w:type="dxa" w:w="2131"/>
            <w:shd w:fill="F8FBFE"/>
            <w:vAlign w:val="center"/>
          </w:tcPr>
          <w:p>
            <w:pPr>
              <w:spacing w:after="0"/>
            </w:pPr>
            <w:r/>
            <w:r>
              <w:rPr>
                <w:b/>
                <w:i w:val="0"/>
                <w:color w:val="000000"/>
                <w:sz w:val="15"/>
                <w:highlight w:val="yellow"/>
              </w:rPr>
              <w:t>{maker_signature_or_system_approval}</w:t>
            </w:r>
          </w:p>
        </w:tc>
      </w:tr>
      <w:tr>
        <w:tc>
          <w:tcPr>
            <w:tcW w:type="dxa" w:w="2131"/>
            <w:vAlign w:val="center"/>
          </w:tcPr>
          <w:p>
            <w:pPr>
              <w:spacing w:after="0"/>
            </w:pPr>
            <w:r/>
            <w:r>
              <w:rPr>
                <w:b w:val="0"/>
                <w:i w:val="0"/>
                <w:sz w:val="15"/>
              </w:rPr>
              <w:t>Reviewed by - Finance / Operations</w:t>
            </w:r>
          </w:p>
        </w:tc>
        <w:tc>
          <w:tcPr>
            <w:tcW w:type="dxa" w:w="2131"/>
            <w:vAlign w:val="center"/>
          </w:tcPr>
          <w:p>
            <w:pPr>
              <w:spacing w:after="0"/>
            </w:pPr>
            <w:r/>
            <w:r>
              <w:rPr>
                <w:b/>
                <w:i w:val="0"/>
                <w:color w:val="000000"/>
                <w:sz w:val="15"/>
                <w:highlight w:val="yellow"/>
              </w:rPr>
              <w:t>{finance_reviewer_name}</w:t>
            </w:r>
          </w:p>
        </w:tc>
        <w:tc>
          <w:tcPr>
            <w:tcW w:type="dxa" w:w="2131"/>
            <w:vAlign w:val="center"/>
          </w:tcPr>
          <w:p>
            <w:pPr>
              <w:spacing w:after="0"/>
            </w:pPr>
            <w:r/>
            <w:r>
              <w:rPr>
                <w:b/>
                <w:i w:val="0"/>
                <w:color w:val="000000"/>
                <w:sz w:val="15"/>
                <w:highlight w:val="yellow"/>
              </w:rPr>
              <w:t>{finance_reviewer_designation}</w:t>
            </w:r>
          </w:p>
        </w:tc>
        <w:tc>
          <w:tcPr>
            <w:tcW w:type="dxa" w:w="2131"/>
            <w:vAlign w:val="center"/>
          </w:tcPr>
          <w:p>
            <w:pPr>
              <w:spacing w:after="0"/>
            </w:pPr>
            <w:r/>
            <w:r>
              <w:rPr>
                <w:b/>
                <w:i w:val="0"/>
                <w:color w:val="000000"/>
                <w:sz w:val="15"/>
                <w:highlight w:val="yellow"/>
              </w:rPr>
              <w:t>{finance_review_date}</w:t>
            </w:r>
          </w:p>
        </w:tc>
        <w:tc>
          <w:tcPr>
            <w:tcW w:type="dxa" w:w="2131"/>
            <w:vAlign w:val="center"/>
          </w:tcPr>
          <w:p>
            <w:pPr>
              <w:spacing w:after="0"/>
            </w:pPr>
            <w:r/>
            <w:r>
              <w:rPr>
                <w:b/>
                <w:i w:val="0"/>
                <w:color w:val="000000"/>
                <w:sz w:val="15"/>
                <w:highlight w:val="yellow"/>
              </w:rPr>
              <w:t>{finance_reviewer_signature}</w:t>
            </w:r>
          </w:p>
        </w:tc>
      </w:tr>
      <w:tr>
        <w:tc>
          <w:tcPr>
            <w:tcW w:type="dxa" w:w="2131"/>
            <w:shd w:fill="F8FBFE"/>
            <w:vAlign w:val="center"/>
          </w:tcPr>
          <w:p>
            <w:pPr>
              <w:spacing w:after="0"/>
            </w:pPr>
            <w:r/>
            <w:r>
              <w:rPr>
                <w:b w:val="0"/>
                <w:i w:val="0"/>
                <w:sz w:val="15"/>
              </w:rPr>
              <w:t>Reviewed by - Compliance Officer</w:t>
            </w:r>
          </w:p>
        </w:tc>
        <w:tc>
          <w:tcPr>
            <w:tcW w:type="dxa" w:w="2131"/>
            <w:shd w:fill="F8FBFE"/>
            <w:vAlign w:val="center"/>
          </w:tcPr>
          <w:p>
            <w:pPr>
              <w:spacing w:after="0"/>
            </w:pPr>
            <w:r/>
            <w:r>
              <w:rPr>
                <w:b/>
                <w:i w:val="0"/>
                <w:color w:val="000000"/>
                <w:sz w:val="15"/>
                <w:highlight w:val="yellow"/>
              </w:rPr>
              <w:t>{compliance_officer_name}</w:t>
            </w:r>
          </w:p>
        </w:tc>
        <w:tc>
          <w:tcPr>
            <w:tcW w:type="dxa" w:w="2131"/>
            <w:shd w:fill="F8FBFE"/>
            <w:vAlign w:val="center"/>
          </w:tcPr>
          <w:p>
            <w:pPr>
              <w:spacing w:after="0"/>
            </w:pPr>
            <w:r/>
            <w:r>
              <w:rPr>
                <w:b/>
                <w:i w:val="0"/>
                <w:color w:val="000000"/>
                <w:sz w:val="15"/>
                <w:highlight w:val="yellow"/>
              </w:rPr>
              <w:t>{compliance_officer_designation}</w:t>
            </w:r>
          </w:p>
        </w:tc>
        <w:tc>
          <w:tcPr>
            <w:tcW w:type="dxa" w:w="2131"/>
            <w:shd w:fill="F8FBFE"/>
            <w:vAlign w:val="center"/>
          </w:tcPr>
          <w:p>
            <w:pPr>
              <w:spacing w:after="0"/>
            </w:pPr>
            <w:r/>
            <w:r>
              <w:rPr>
                <w:b/>
                <w:i w:val="0"/>
                <w:color w:val="000000"/>
                <w:sz w:val="15"/>
                <w:highlight w:val="yellow"/>
              </w:rPr>
              <w:t>{compliance_review_date}</w:t>
            </w:r>
          </w:p>
        </w:tc>
        <w:tc>
          <w:tcPr>
            <w:tcW w:type="dxa" w:w="2131"/>
            <w:shd w:fill="F8FBFE"/>
            <w:vAlign w:val="center"/>
          </w:tcPr>
          <w:p>
            <w:pPr>
              <w:spacing w:after="0"/>
            </w:pPr>
            <w:r/>
            <w:r>
              <w:rPr>
                <w:b/>
                <w:i w:val="0"/>
                <w:color w:val="000000"/>
                <w:sz w:val="15"/>
                <w:highlight w:val="yellow"/>
              </w:rPr>
              <w:t>{compliance_officer_signature}</w:t>
            </w:r>
          </w:p>
        </w:tc>
      </w:tr>
      <w:tr>
        <w:tc>
          <w:tcPr>
            <w:tcW w:type="dxa" w:w="2131"/>
            <w:vAlign w:val="center"/>
          </w:tcPr>
          <w:p>
            <w:pPr>
              <w:spacing w:after="0"/>
            </w:pPr>
            <w:r/>
            <w:r>
              <w:rPr>
                <w:b w:val="0"/>
                <w:i w:val="0"/>
                <w:sz w:val="15"/>
              </w:rPr>
              <w:t>Approved by - Authorised Officer</w:t>
            </w:r>
          </w:p>
        </w:tc>
        <w:tc>
          <w:tcPr>
            <w:tcW w:type="dxa" w:w="2131"/>
            <w:vAlign w:val="center"/>
          </w:tcPr>
          <w:p>
            <w:pPr>
              <w:spacing w:after="0"/>
            </w:pPr>
            <w:r/>
            <w:r>
              <w:rPr>
                <w:b/>
                <w:i w:val="0"/>
                <w:color w:val="000000"/>
                <w:sz w:val="15"/>
                <w:highlight w:val="yellow"/>
              </w:rPr>
              <w:t>{authorised_officer_name}</w:t>
            </w:r>
          </w:p>
        </w:tc>
        <w:tc>
          <w:tcPr>
            <w:tcW w:type="dxa" w:w="2131"/>
            <w:vAlign w:val="center"/>
          </w:tcPr>
          <w:p>
            <w:pPr>
              <w:spacing w:after="0"/>
            </w:pPr>
            <w:r/>
            <w:r>
              <w:rPr>
                <w:b/>
                <w:i w:val="0"/>
                <w:color w:val="000000"/>
                <w:sz w:val="15"/>
                <w:highlight w:val="yellow"/>
              </w:rPr>
              <w:t>{authorised_officer_designation}</w:t>
            </w:r>
          </w:p>
        </w:tc>
        <w:tc>
          <w:tcPr>
            <w:tcW w:type="dxa" w:w="2131"/>
            <w:vAlign w:val="center"/>
          </w:tcPr>
          <w:p>
            <w:pPr>
              <w:spacing w:after="0"/>
            </w:pPr>
            <w:r/>
            <w:r>
              <w:rPr>
                <w:b/>
                <w:i w:val="0"/>
                <w:color w:val="000000"/>
                <w:sz w:val="15"/>
                <w:highlight w:val="yellow"/>
              </w:rPr>
              <w:t>{authorised_approval_date}</w:t>
            </w:r>
          </w:p>
        </w:tc>
        <w:tc>
          <w:tcPr>
            <w:tcW w:type="dxa" w:w="2131"/>
            <w:vAlign w:val="center"/>
          </w:tcPr>
          <w:p>
            <w:pPr>
              <w:spacing w:after="0"/>
            </w:pPr>
            <w:r/>
            <w:r>
              <w:rPr>
                <w:b/>
                <w:i w:val="0"/>
                <w:color w:val="000000"/>
                <w:sz w:val="15"/>
                <w:highlight w:val="yellow"/>
              </w:rPr>
              <w:t>{authorised_officer_signature}</w:t>
            </w:r>
          </w:p>
        </w:tc>
      </w:tr>
    </w:tbl>
    <w:p>
      <w:pPr>
        <w:spacing w:after="80" w:line="240" w:lineRule="auto"/>
      </w:pPr>
    </w:p>
    <w:p>
      <w:pPr>
        <w:spacing w:after="120" w:line="240" w:lineRule="auto"/>
      </w:pPr>
      <w:r>
        <w:rPr>
          <w:b w:val="0"/>
          <w:i w:val="0"/>
          <w:sz w:val="17"/>
        </w:rPr>
        <w:t xml:space="preserve">Management certification: Based on the records available to management and subject to the assumptions, exclusions and reconciliation notes disclosed in this pack, the capital adequacy calculation has been prepared from the approved accounting and portfolio records of </w:t>
      </w:r>
      <w:r>
        <w:rPr>
          <w:b/>
          <w:i w:val="0"/>
          <w:color w:val="000000"/>
          <w:sz w:val="17"/>
          <w:highlight w:val="yellow"/>
        </w:rPr>
        <w:t>{licensed_entity_name}</w:t>
      </w:r>
      <w:r>
        <w:rPr>
          <w:b w:val="0"/>
          <w:i w:val="0"/>
          <w:sz w:val="17"/>
        </w:rPr>
        <w:t xml:space="preserve"> for the period ended </w:t>
      </w:r>
      <w:r>
        <w:rPr>
          <w:b/>
          <w:i w:val="0"/>
          <w:color w:val="000000"/>
          <w:sz w:val="17"/>
          <w:highlight w:val="yellow"/>
        </w:rPr>
        <w:t>{quarter_end_date}</w:t>
      </w:r>
      <w:r>
        <w:rPr>
          <w:b w:val="0"/>
          <w:i w:val="0"/>
          <w:sz w:val="17"/>
        </w:rPr>
        <w:t>.</w:t>
      </w:r>
    </w:p>
    <w:p>
      <w:pPr>
        <w:spacing w:before="200" w:after="120" w:line="240" w:lineRule="auto"/>
        <w:pBdr>
          <w:bottom w:val="single" w:sz="8" w:space="4" w:color="1E88E5"/>
        </w:pBdr>
      </w:pPr>
      <w:r>
        <w:rPr>
          <w:b/>
          <w:color w:val="071827"/>
          <w:sz w:val="28"/>
        </w:rPr>
        <w:t>15. Arcus System Audit Details</w:t>
      </w: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Control Field</w:t>
            </w:r>
          </w:p>
        </w:tc>
        <w:tc>
          <w:tcPr>
            <w:tcW w:type="dxa" w:w="5328"/>
            <w:tcBorders>
              <w:top w:sz="4" w:val="single" w:color="AFC7DD"/>
              <w:left w:sz="4" w:val="single" w:color="AFC7DD"/>
              <w:bottom w:sz="4" w:val="single" w:color="AFC7DD"/>
              <w:right w:sz="4" w:val="single" w:color="AFC7DD"/>
            </w:tcBorders>
            <w:shd w:fill="071827"/>
            <w:vAlign w:val="center"/>
          </w:tcPr>
          <w:p>
            <w:pPr>
              <w:spacing w:after="0"/>
            </w:pPr>
            <w:r/>
            <w:r>
              <w:rPr>
                <w:b/>
                <w:i w:val="0"/>
                <w:color w:val="FFFFFF"/>
                <w:sz w:val="15"/>
              </w:rPr>
              <w:t>System Value</w:t>
            </w:r>
          </w:p>
        </w:tc>
      </w:tr>
      <w:tr>
        <w:tc>
          <w:tcPr>
            <w:tcW w:type="dxa" w:w="5328"/>
            <w:shd w:fill="F8FBFE"/>
            <w:vAlign w:val="center"/>
          </w:tcPr>
          <w:p>
            <w:pPr>
              <w:spacing w:after="0"/>
            </w:pPr>
            <w:r/>
            <w:r>
              <w:rPr>
                <w:b w:val="0"/>
                <w:i w:val="0"/>
                <w:sz w:val="15"/>
              </w:rPr>
              <w:t>Report Run ID</w:t>
            </w:r>
          </w:p>
        </w:tc>
        <w:tc>
          <w:tcPr>
            <w:tcW w:type="dxa" w:w="5328"/>
            <w:shd w:fill="F8FBFE"/>
            <w:vAlign w:val="center"/>
          </w:tcPr>
          <w:p>
            <w:pPr>
              <w:spacing w:after="0"/>
            </w:pPr>
            <w:r/>
            <w:r>
              <w:rPr>
                <w:b/>
                <w:i w:val="0"/>
                <w:color w:val="000000"/>
                <w:sz w:val="15"/>
                <w:highlight w:val="yellow"/>
              </w:rPr>
              <w:t>{reporting_run_id}</w:t>
            </w:r>
          </w:p>
        </w:tc>
      </w:tr>
      <w:tr>
        <w:tc>
          <w:tcPr>
            <w:tcW w:type="dxa" w:w="5328"/>
            <w:vAlign w:val="center"/>
          </w:tcPr>
          <w:p>
            <w:pPr>
              <w:spacing w:after="0"/>
            </w:pPr>
            <w:r/>
            <w:r>
              <w:rPr>
                <w:b w:val="0"/>
                <w:i w:val="0"/>
                <w:sz w:val="15"/>
              </w:rPr>
              <w:t>Generated Report ID</w:t>
            </w:r>
          </w:p>
        </w:tc>
        <w:tc>
          <w:tcPr>
            <w:tcW w:type="dxa" w:w="5328"/>
            <w:vAlign w:val="center"/>
          </w:tcPr>
          <w:p>
            <w:pPr>
              <w:spacing w:after="0"/>
            </w:pPr>
            <w:r/>
            <w:r>
              <w:rPr>
                <w:b/>
                <w:i w:val="0"/>
                <w:color w:val="000000"/>
                <w:sz w:val="15"/>
                <w:highlight w:val="yellow"/>
              </w:rPr>
              <w:t>{generated_report_id}</w:t>
            </w:r>
          </w:p>
        </w:tc>
      </w:tr>
      <w:tr>
        <w:tc>
          <w:tcPr>
            <w:tcW w:type="dxa" w:w="5328"/>
            <w:shd w:fill="F8FBFE"/>
            <w:vAlign w:val="center"/>
          </w:tcPr>
          <w:p>
            <w:pPr>
              <w:spacing w:after="0"/>
            </w:pPr>
            <w:r/>
            <w:r>
              <w:rPr>
                <w:b w:val="0"/>
                <w:i w:val="0"/>
                <w:sz w:val="15"/>
              </w:rPr>
              <w:t>Source Data Snapshot ID</w:t>
            </w:r>
          </w:p>
        </w:tc>
        <w:tc>
          <w:tcPr>
            <w:tcW w:type="dxa" w:w="5328"/>
            <w:shd w:fill="F8FBFE"/>
            <w:vAlign w:val="center"/>
          </w:tcPr>
          <w:p>
            <w:pPr>
              <w:spacing w:after="0"/>
            </w:pPr>
            <w:r/>
            <w:r>
              <w:rPr>
                <w:b/>
                <w:i w:val="0"/>
                <w:color w:val="000000"/>
                <w:sz w:val="15"/>
                <w:highlight w:val="yellow"/>
              </w:rPr>
              <w:t>{source_data_snapshot_id}</w:t>
            </w:r>
          </w:p>
        </w:tc>
      </w:tr>
      <w:tr>
        <w:tc>
          <w:tcPr>
            <w:tcW w:type="dxa" w:w="5328"/>
            <w:vAlign w:val="center"/>
          </w:tcPr>
          <w:p>
            <w:pPr>
              <w:spacing w:after="0"/>
            </w:pPr>
            <w:r/>
            <w:r>
              <w:rPr>
                <w:b w:val="0"/>
                <w:i w:val="0"/>
                <w:sz w:val="15"/>
              </w:rPr>
              <w:t>Generated By</w:t>
            </w:r>
          </w:p>
        </w:tc>
        <w:tc>
          <w:tcPr>
            <w:tcW w:type="dxa" w:w="5328"/>
            <w:vAlign w:val="center"/>
          </w:tcPr>
          <w:p>
            <w:pPr>
              <w:spacing w:after="0"/>
            </w:pPr>
            <w:r/>
            <w:r>
              <w:rPr>
                <w:b/>
                <w:i w:val="0"/>
                <w:color w:val="000000"/>
                <w:sz w:val="15"/>
                <w:highlight w:val="yellow"/>
              </w:rPr>
              <w:t>{generated_by_user}</w:t>
            </w:r>
          </w:p>
        </w:tc>
      </w:tr>
      <w:tr>
        <w:tc>
          <w:tcPr>
            <w:tcW w:type="dxa" w:w="5328"/>
            <w:shd w:fill="F8FBFE"/>
            <w:vAlign w:val="center"/>
          </w:tcPr>
          <w:p>
            <w:pPr>
              <w:spacing w:after="0"/>
            </w:pPr>
            <w:r/>
            <w:r>
              <w:rPr>
                <w:b w:val="0"/>
                <w:i w:val="0"/>
                <w:sz w:val="15"/>
              </w:rPr>
              <w:t>Generated Date and Time</w:t>
            </w:r>
          </w:p>
        </w:tc>
        <w:tc>
          <w:tcPr>
            <w:tcW w:type="dxa" w:w="5328"/>
            <w:shd w:fill="F8FBFE"/>
            <w:vAlign w:val="center"/>
          </w:tcPr>
          <w:p>
            <w:pPr>
              <w:spacing w:after="0"/>
            </w:pPr>
            <w:r/>
            <w:r>
              <w:rPr>
                <w:b/>
                <w:i w:val="0"/>
                <w:color w:val="000000"/>
                <w:sz w:val="15"/>
                <w:highlight w:val="yellow"/>
              </w:rPr>
              <w:t>{generated_datetime}</w:t>
            </w:r>
          </w:p>
        </w:tc>
      </w:tr>
      <w:tr>
        <w:tc>
          <w:tcPr>
            <w:tcW w:type="dxa" w:w="5328"/>
            <w:vAlign w:val="center"/>
          </w:tcPr>
          <w:p>
            <w:pPr>
              <w:spacing w:after="0"/>
            </w:pPr>
            <w:r/>
            <w:r>
              <w:rPr>
                <w:b w:val="0"/>
                <w:i w:val="0"/>
                <w:sz w:val="15"/>
              </w:rPr>
              <w:t>Checker Approval ID</w:t>
            </w:r>
          </w:p>
        </w:tc>
        <w:tc>
          <w:tcPr>
            <w:tcW w:type="dxa" w:w="5328"/>
            <w:vAlign w:val="center"/>
          </w:tcPr>
          <w:p>
            <w:pPr>
              <w:spacing w:after="0"/>
            </w:pPr>
            <w:r/>
            <w:r>
              <w:rPr>
                <w:b/>
                <w:i w:val="0"/>
                <w:color w:val="000000"/>
                <w:sz w:val="15"/>
                <w:highlight w:val="yellow"/>
              </w:rPr>
              <w:t>{checker_approval_id}</w:t>
            </w:r>
          </w:p>
        </w:tc>
      </w:tr>
      <w:tr>
        <w:tc>
          <w:tcPr>
            <w:tcW w:type="dxa" w:w="5328"/>
            <w:shd w:fill="F8FBFE"/>
            <w:vAlign w:val="center"/>
          </w:tcPr>
          <w:p>
            <w:pPr>
              <w:spacing w:after="0"/>
            </w:pPr>
            <w:r/>
            <w:r>
              <w:rPr>
                <w:b w:val="0"/>
                <w:i w:val="0"/>
                <w:sz w:val="15"/>
              </w:rPr>
              <w:t>Approval Date and Time</w:t>
            </w:r>
          </w:p>
        </w:tc>
        <w:tc>
          <w:tcPr>
            <w:tcW w:type="dxa" w:w="5328"/>
            <w:shd w:fill="F8FBFE"/>
            <w:vAlign w:val="center"/>
          </w:tcPr>
          <w:p>
            <w:pPr>
              <w:spacing w:after="0"/>
            </w:pPr>
            <w:r/>
            <w:r>
              <w:rPr>
                <w:b/>
                <w:i w:val="0"/>
                <w:color w:val="000000"/>
                <w:sz w:val="15"/>
                <w:highlight w:val="yellow"/>
              </w:rPr>
              <w:t>{approval_datetime}</w:t>
            </w:r>
          </w:p>
        </w:tc>
      </w:tr>
      <w:tr>
        <w:tc>
          <w:tcPr>
            <w:tcW w:type="dxa" w:w="5328"/>
            <w:vAlign w:val="center"/>
          </w:tcPr>
          <w:p>
            <w:pPr>
              <w:spacing w:after="0"/>
            </w:pPr>
            <w:r/>
            <w:r>
              <w:rPr>
                <w:b w:val="0"/>
                <w:i w:val="0"/>
                <w:sz w:val="15"/>
              </w:rPr>
              <w:t>Submission Reference</w:t>
            </w:r>
          </w:p>
        </w:tc>
        <w:tc>
          <w:tcPr>
            <w:tcW w:type="dxa" w:w="5328"/>
            <w:vAlign w:val="center"/>
          </w:tcPr>
          <w:p>
            <w:pPr>
              <w:spacing w:after="0"/>
            </w:pPr>
            <w:r/>
            <w:r>
              <w:rPr>
                <w:b/>
                <w:i w:val="0"/>
                <w:color w:val="000000"/>
                <w:sz w:val="15"/>
                <w:highlight w:val="yellow"/>
              </w:rPr>
              <w:t>{submission_reference_if_applicable}</w:t>
            </w:r>
          </w:p>
        </w:tc>
      </w:tr>
      <w:tr>
        <w:tc>
          <w:tcPr>
            <w:tcW w:type="dxa" w:w="5328"/>
            <w:shd w:fill="F8FBFE"/>
            <w:vAlign w:val="center"/>
          </w:tcPr>
          <w:p>
            <w:pPr>
              <w:spacing w:after="0"/>
            </w:pPr>
            <w:r/>
            <w:r>
              <w:rPr>
                <w:b w:val="0"/>
                <w:i w:val="0"/>
                <w:sz w:val="15"/>
              </w:rPr>
              <w:t>Document Hash / Checksum</w:t>
            </w:r>
          </w:p>
        </w:tc>
        <w:tc>
          <w:tcPr>
            <w:tcW w:type="dxa" w:w="5328"/>
            <w:shd w:fill="F8FBFE"/>
            <w:vAlign w:val="center"/>
          </w:tcPr>
          <w:p>
            <w:pPr>
              <w:spacing w:after="0"/>
            </w:pPr>
            <w:r/>
            <w:r>
              <w:rPr>
                <w:b/>
                <w:i w:val="0"/>
                <w:color w:val="000000"/>
                <w:sz w:val="15"/>
                <w:highlight w:val="yellow"/>
              </w:rPr>
              <w:t>{document_hash}</w:t>
            </w:r>
          </w:p>
        </w:tc>
      </w:tr>
      <w:tr>
        <w:tc>
          <w:tcPr>
            <w:tcW w:type="dxa" w:w="5328"/>
            <w:vAlign w:val="center"/>
          </w:tcPr>
          <w:p>
            <w:pPr>
              <w:spacing w:after="0"/>
            </w:pPr>
            <w:r/>
            <w:r>
              <w:rPr>
                <w:b w:val="0"/>
                <w:i w:val="0"/>
                <w:sz w:val="15"/>
              </w:rPr>
              <w:t>Archive Status</w:t>
            </w:r>
          </w:p>
        </w:tc>
        <w:tc>
          <w:tcPr>
            <w:tcW w:type="dxa" w:w="5328"/>
            <w:vAlign w:val="center"/>
          </w:tcPr>
          <w:p>
            <w:pPr>
              <w:spacing w:after="0"/>
            </w:pPr>
            <w:r/>
            <w:r>
              <w:rPr>
                <w:b/>
                <w:i w:val="0"/>
                <w:color w:val="000000"/>
                <w:sz w:val="15"/>
                <w:highlight w:val="yellow"/>
              </w:rPr>
              <w:t>{draft_locked_archived}</w:t>
            </w:r>
          </w:p>
        </w:tc>
      </w:tr>
      <w:tr>
        <w:tc>
          <w:tcPr>
            <w:tcW w:type="dxa" w:w="5328"/>
            <w:shd w:fill="F8FBFE"/>
            <w:vAlign w:val="center"/>
          </w:tcPr>
          <w:p>
            <w:pPr>
              <w:spacing w:after="0"/>
            </w:pPr>
            <w:r/>
            <w:r>
              <w:rPr>
                <w:b w:val="0"/>
                <w:i w:val="0"/>
                <w:sz w:val="15"/>
              </w:rPr>
              <w:t>Reissue Reference, if any</w:t>
            </w:r>
          </w:p>
        </w:tc>
        <w:tc>
          <w:tcPr>
            <w:tcW w:type="dxa" w:w="5328"/>
            <w:shd w:fill="F8FBFE"/>
            <w:vAlign w:val="center"/>
          </w:tcPr>
          <w:p>
            <w:pPr>
              <w:spacing w:after="0"/>
            </w:pPr>
            <w:r/>
            <w:r>
              <w:rPr>
                <w:b/>
                <w:i w:val="0"/>
                <w:color w:val="000000"/>
                <w:sz w:val="15"/>
                <w:highlight w:val="yellow"/>
              </w:rPr>
              <w:t>{reissue_reference}</w:t>
            </w:r>
          </w:p>
        </w:tc>
      </w:tr>
    </w:tbl>
    <w:p>
      <w:pPr>
        <w:spacing w:after="80" w:line="240" w:lineRule="auto"/>
      </w:pPr>
    </w:p>
    <w:p>
      <w:pPr>
        <w:spacing w:before="200" w:after="120" w:line="240" w:lineRule="auto"/>
        <w:pBdr>
          <w:bottom w:val="single" w:sz="8" w:space="4" w:color="1E88E5"/>
        </w:pBdr>
      </w:pPr>
      <w:r>
        <w:rPr>
          <w:b/>
          <w:color w:val="071827"/>
          <w:sz w:val="28"/>
        </w:rPr>
        <w:t>16. Standard Footer / Confidentiality Wording</w:t>
      </w:r>
    </w:p>
    <w:p>
      <w:pPr>
        <w:spacing w:after="120" w:line="240" w:lineRule="auto"/>
      </w:pPr>
      <w:r>
        <w:rPr>
          <w:b w:val="0"/>
          <w:i w:val="0"/>
          <w:sz w:val="17"/>
        </w:rPr>
        <w:t xml:space="preserve">Confidential regulatory support schedule | </w:t>
      </w:r>
      <w:r>
        <w:rPr>
          <w:b/>
          <w:i w:val="0"/>
          <w:color w:val="000000"/>
          <w:sz w:val="17"/>
          <w:highlight w:val="yellow"/>
        </w:rPr>
        <w:t>{licensed_entity_name}</w:t>
      </w:r>
      <w:r>
        <w:rPr>
          <w:b w:val="0"/>
          <w:i w:val="0"/>
          <w:sz w:val="17"/>
        </w:rPr>
        <w:t xml:space="preserve"> | </w:t>
      </w:r>
      <w:r>
        <w:rPr>
          <w:b/>
          <w:i w:val="0"/>
          <w:color w:val="000000"/>
          <w:sz w:val="17"/>
          <w:highlight w:val="yellow"/>
        </w:rPr>
        <w:t>{reporting_period}</w:t>
      </w:r>
      <w:r>
        <w:rPr>
          <w:b w:val="0"/>
          <w:i w:val="0"/>
          <w:sz w:val="17"/>
        </w:rPr>
        <w:t>. This document is system-generated from Arcus using approved source data and is valid only with its digital checksum, version number and approval record.</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B5563"/>
        <w:sz w:val="14"/>
      </w:rPr>
      <w:t xml:space="preserve">Confidential | SECZIM Capital Adequacy Pack | </w:t>
    </w:r>
    <w:r>
      <w:rPr>
        <w:b/>
        <w:i w:val="0"/>
        <w:color w:val="000000"/>
        <w:sz w:val="14"/>
        <w:highlight w:val="yellow"/>
      </w:rPr>
      <w:t>{reporting_period}</w:t>
    </w:r>
    <w:r>
      <w:rPr>
        <w:b w:val="0"/>
        <w:i w:val="0"/>
        <w:color w:val="4B5563"/>
        <w:sz w:val="14"/>
      </w:rPr>
      <w:t xml:space="preserve"> | Generated from Arcus approved source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autofit"/>
      <w:tblLook w:firstColumn="1" w:firstRow="1" w:lastColumn="0" w:lastRow="0" w:noHBand="0" w:noVBand="1" w:val="04A0"/>
    </w:tblPr>
    <w:tblGrid>
      <w:gridCol w:w="5184"/>
      <w:gridCol w:w="5184"/>
    </w:tblGrid>
    <w:tr>
      <w:tc>
        <w:tcPr>
          <w:tcW w:type="dxa" w:w="5184"/>
          <w:shd w:fill="071827"/>
          <w:vAlign w:val="center"/>
        </w:tcPr>
        <w:p>
          <w:pPr>
            <w:spacing w:after="0"/>
          </w:pPr>
          <w:r/>
          <w:r>
            <w:rPr>
              <w:b/>
              <w:i w:val="0"/>
              <w:color w:val="FFFFFF"/>
              <w:sz w:val="16"/>
            </w:rPr>
            <w:t>■  ARCUS REPORTING PACK</w:t>
          </w:r>
        </w:p>
      </w:tc>
      <w:tc>
        <w:tcPr>
          <w:tcW w:type="dxa" w:w="5184"/>
          <w:shd w:fill="071827"/>
          <w:vAlign w:val="center"/>
        </w:tcPr>
        <w:p>
          <w:pPr>
            <w:spacing w:after="0"/>
            <w:jc w:val="right"/>
          </w:pPr>
          <w:r/>
          <w:r>
            <w:rPr>
              <w:b w:val="0"/>
              <w:i w:val="0"/>
              <w:color w:val="FFFFFF"/>
              <w:sz w:val="14"/>
            </w:rPr>
            <w:t>Quarterly Reporting | Investor Statements | Regulatory Packs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