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b/>
          <w:i w:val="0"/>
          <w:color w:val="1688E8"/>
          <w:sz w:val="26"/>
        </w:rPr>
        <w:t>ARCUS</w:t>
      </w:r>
    </w:p>
    <w:p>
      <w:pPr>
        <w:jc w:val="center"/>
      </w:pPr>
      <w:r>
        <w:rPr>
          <w:rFonts w:ascii="Aptos" w:hAnsi="Aptos"/>
          <w:b/>
          <w:i w:val="0"/>
          <w:color w:val="071426"/>
          <w:sz w:val="42"/>
        </w:rPr>
        <w:t>TRUSTEE QUARTERLY PACK</w:t>
      </w:r>
    </w:p>
    <w:p>
      <w:pPr>
        <w:jc w:val="center"/>
      </w:pPr>
      <w:r>
        <w:rPr>
          <w:rFonts w:ascii="Aptos" w:hAnsi="Aptos"/>
          <w:b w:val="0"/>
          <w:i w:val="0"/>
          <w:color w:val="4B5563"/>
          <w:sz w:val="20"/>
        </w:rPr>
        <w:t>Pension Mandate and Institutional Investor Reporting Template</w:t>
      </w:r>
    </w:p>
    <w:p>
      <w:pPr>
        <w:jc w:val="center"/>
      </w:pPr>
      <w:r>
        <w:rPr>
          <w:rFonts w:ascii="Aptos" w:hAnsi="Aptos"/>
          <w:b/>
          <w:i w:val="0"/>
          <w:color w:val="071426"/>
          <w:sz w:val="18"/>
        </w:rPr>
        <w:t>Confidential Trustee, Board and Governance Reporting Document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Replace all yellow highlighted fields before issuing. Blue instruction boxes are preparation guidance and should be deleted, hidden or retained only in internal working versions. Plain black text is standard wording and should not be changed unless authorised by legal, compliance or the responsible officer.</w:t>
            </w:r>
          </w:p>
        </w:tc>
      </w:tr>
    </w:tbl>
    <w:p>
      <w:pPr>
        <w:spacing w:after="40"/>
      </w:pPr>
    </w:p>
    <w:tbl>
      <w:tblPr>
        <w:tblW w:type="auto" w:w="0"/>
        <w:jc w:val="center"/>
        <w:tblLayout w:type="autofit"/>
        <w:tblLook w:firstColumn="1" w:firstRow="1" w:lastColumn="0" w:lastRow="0" w:noHBand="0" w:noVBand="1" w:val="04A0"/>
      </w:tblPr>
      <w:tblGrid>
        <w:gridCol w:w="7200"/>
        <w:gridCol w:w="7200"/>
      </w:tblGrid>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Pension Fund / Client Name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{pension_fund_or_client_name}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Asset Manager / Fund Manager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{asset_manager_or_fund_manager_name}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Trustee / Board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{trustee_board_name}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Administrator / Consultant</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{administrator_or_consultant_name}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Reporting Period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{quarter_start_date} to {quarter_end_date}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Valuation Date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{valuation_date}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Base Currency</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{base_currency}</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Reporting Currencies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{zwg_usd_consolidated_other}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Mandate Type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{defined_contribution_defined_benefit_discretionary_advisory_other}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Prepared For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{trustees_board_investment_committee_administrator_ipec_support}</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 Version</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{version_number}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Document Status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{draft_under_review_approved_submitted_archived}</w:t>
            </w:r>
          </w:p>
        </w:tc>
      </w:tr>
    </w:tbl>
    <w:p>
      <w:pPr>
        <w:spacing w:after="40"/>
      </w:pPr>
    </w:p>
    <w:p>
      <w:pPr>
        <w:pStyle w:val="Heading1"/>
        <w:spacing w:before="140" w:after="60"/>
      </w:pPr>
      <w:r>
        <w:t>Template Use Guide</w:t>
      </w:r>
    </w:p>
    <w:tbl>
      <w:tblPr>
        <w:tblW w:type="auto" w:w="0"/>
        <w:jc w:val="center"/>
        <w:tblLayout w:type="autofit"/>
        <w:tblLook w:firstColumn="1" w:firstRow="1" w:lastColumn="0" w:lastRow="0" w:noHBand="0" w:noVBand="1" w:val="04A0"/>
      </w:tblPr>
      <w:tblGrid>
        <w:gridCol w:w="4800"/>
        <w:gridCol w:w="4800"/>
        <w:gridCol w:w="4800"/>
      </w:tblGrid>
      <w:tr>
        <w:trPr>
          <w:cantSplit/>
          <w:tblHeader w:val="true"/>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Visual Marker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Meaning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Action Required</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Yellow highlighted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Editable placeholder field</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Replace with actual system-generated or approved value</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Blue instruction box</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Guidance for preparer/reviewer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Delete, hide or retain internally before final issue</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Plain black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Standard report wording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Keep unless authorised by legal/compliance</w:t>
            </w:r>
          </w:p>
        </w:tc>
      </w:tr>
    </w:tbl>
    <w:p>
      <w:pPr>
        <w:spacing w:after="40"/>
      </w:pPr>
    </w:p>
    <w:p>
      <w:pPr>
        <w:pStyle w:val="Heading1"/>
        <w:spacing w:before="140" w:after="60"/>
      </w:pPr>
      <w:r>
        <w:t>1. Purpose and Scope</w:t>
      </w:r>
    </w:p>
    <w:p>
      <w:pPr>
        <w:spacing w:after="100"/>
      </w:pPr>
      <w:r>
        <w:rPr>
          <w:rFonts w:ascii="Aptos" w:hAnsi="Aptos"/>
          <w:b w:val="0"/>
          <w:i w:val="0"/>
        </w:rPr>
        <w:t xml:space="preserve">This Trustee Quarterly Pack is prepared for </w:t>
      </w:r>
      <w:r>
        <w:rPr>
          <w:rFonts w:ascii="Aptos" w:hAnsi="Aptos"/>
          <w:b w:val="0"/>
          <w:i w:val="0"/>
          <w:highlight w:val="yellow"/>
        </w:rPr>
        <w:t>{pension_fund_or_client_name}</w:t>
      </w:r>
      <w:r>
        <w:rPr>
          <w:rFonts w:ascii="Aptos" w:hAnsi="Aptos"/>
          <w:b w:val="0"/>
          <w:i w:val="0"/>
        </w:rPr>
        <w:t xml:space="preserve"> for the quarter ended </w:t>
      </w:r>
      <w:r>
        <w:rPr>
          <w:rFonts w:ascii="Aptos" w:hAnsi="Aptos"/>
          <w:b w:val="0"/>
          <w:i w:val="0"/>
          <w:highlight w:val="yellow"/>
        </w:rPr>
        <w:t>{quarter_end_date}</w:t>
      </w:r>
      <w:r>
        <w:rPr>
          <w:rFonts w:ascii="Aptos" w:hAnsi="Aptos"/>
          <w:b w:val="0"/>
          <w:i w:val="0"/>
        </w:rPr>
        <w:t>. It provides trustees and authorised governance bodies with a structured review of investment performance, portfolio valuation, asset allocation, prescribed asset exposure, investment compliance, fees, risk matters and unresolved exceptions.</w:t>
      </w:r>
    </w:p>
    <w:p>
      <w:pPr>
        <w:spacing w:after="100"/>
      </w:pPr>
      <w:r>
        <w:rPr>
          <w:rFonts w:ascii="Aptos" w:hAnsi="Aptos"/>
          <w:b w:val="0"/>
          <w:i w:val="0"/>
        </w:rPr>
        <w:t>The pack is generated from approved Arcus source data, including portfolio valuations, holdings, trades, cash balances, fees, income, compliance checks, reconciliation items and accounting support schedules. It is intended to support trustee oversight, board reporting, mandate monitoring, pension fund administration and regulatory evidence processes where applicable.</w:t>
      </w:r>
    </w:p>
    <w:p>
      <w:pPr>
        <w:spacing w:after="100"/>
      </w:pPr>
      <w:r>
        <w:rPr>
          <w:rFonts w:ascii="Aptos" w:hAnsi="Aptos"/>
          <w:b/>
          <w:i w:val="0"/>
        </w:rPr>
        <w:t xml:space="preserve">Important: </w:t>
      </w:r>
      <w:r>
        <w:rPr>
          <w:rFonts w:ascii="Aptos" w:hAnsi="Aptos"/>
          <w:b w:val="0"/>
          <w:i w:val="0"/>
        </w:rPr>
        <w:t>This pack is a support document and does not replace any official pension fund return, statutory filing, audited financial statement, actuarial valuation, trustee certification or regulator-prescribed workbook. Any submission to a regulator, trustee, administrator or sponsor must follow the applicable authorised approval process.</w:t>
      </w:r>
    </w:p>
    <w:p>
      <w:pPr>
        <w:pStyle w:val="Heading1"/>
        <w:spacing w:before="140" w:after="60"/>
      </w:pPr>
      <w:r>
        <w:t>2. Governance, Mandate and Reporting Basis</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Complete this section using the pension fund rules, investment policy statement, investment management agreement, trustee mandate, administrator instructions and applicable internal compliance framework. Where an IPEC-facing schedule is required, attach the prescribed workbook or approved support schedule as evidence rather than treating this template as the official form.</w:t>
            </w:r>
          </w:p>
        </w:tc>
      </w:tr>
    </w:tbl>
    <w:p>
      <w:pPr>
        <w:spacing w:after="40"/>
      </w:pPr>
    </w:p>
    <w:tbl>
      <w:tblPr>
        <w:tblW w:type="auto" w:w="0"/>
        <w:jc w:val="center"/>
        <w:tblLayout w:type="autofit"/>
        <w:tblLook w:firstColumn="1" w:firstRow="1" w:lastColumn="0" w:lastRow="0" w:noHBand="0" w:noVBand="1" w:val="04A0"/>
      </w:tblPr>
      <w:tblGrid>
        <w:gridCol w:w="7200"/>
        <w:gridCol w:w="7200"/>
      </w:tblGrid>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Governing Documents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{fund_rules_investment_policy_statement_management_agreement_trustee_mandate_other}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Mandate Objective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{income_growth_capital_preservation_liability_matching_balanced_other}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Benchmark</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{benchmark_name_and_basis}</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Risk Profile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{low_moderate_balanced_growth_high_other}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Permitted Asset Classes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{permitted_asset_classes}</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Restricted Assets / Limits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{restricted_assets_and_exposure_limits}</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Prescribed Asset Requirement</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{prescribed_asset_requirement_if_applicable}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Regulatory / Trustee Reporting Basis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{quarterly_trustee_pack_ipec_support_internal_board_reporting_other}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Primary Arcus Source Module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{stock_price_collector_portfolio_valuation_accounting_compliance}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Materiality Threshold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{materiality_threshold_amount_or_percentage}</w:t>
            </w:r>
          </w:p>
        </w:tc>
      </w:tr>
    </w:tbl>
    <w:p>
      <w:pPr>
        <w:spacing w:after="40"/>
      </w:pPr>
    </w:p>
    <w:p>
      <w:pPr>
        <w:pStyle w:val="Heading1"/>
        <w:spacing w:before="140" w:after="60"/>
      </w:pPr>
      <w:r>
        <w:t>3. Trustee Pack Control Checklist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All mandatory sections should be completed before trustee release. Items marked No or N/A must be explained in the exception register and signed off by the responsible officer.</w:t>
            </w:r>
          </w:p>
        </w:tc>
      </w:tr>
    </w:tbl>
    <w:p>
      <w:pPr>
        <w:spacing w:after="40"/>
      </w:pP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Check</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Evidence Reference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Comment / Exception</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Portfolio valuation approved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Quarter-end holdings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Cash balances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Performance calculations 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Benchmark return loaded and approved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Asset allocation and exposure limits checked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Prescribed asset exposure checked, where applicable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Investment fees and expenses 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exceptions 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action items updated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Maker-checker approval 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bl>
    <w:p>
      <w:pPr>
        <w:spacing w:after="40"/>
      </w:pPr>
    </w:p>
    <w:p>
      <w:pPr>
        <w:pStyle w:val="Heading1"/>
        <w:spacing w:before="140" w:after="60"/>
      </w:pPr>
      <w:r>
        <w:t>4. Executive Summary for Trustees</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Write a concise trustee-facing summary. Avoid unnecessary technical language. Clearly disclose material movements, mandate breaches, prescribed asset issues, liquidity pressures and unresolved exceptions.</w:t>
            </w:r>
          </w:p>
        </w:tc>
      </w:tr>
    </w:tbl>
    <w:p>
      <w:pPr>
        <w:spacing w:after="40"/>
      </w:pPr>
    </w:p>
    <w:p>
      <w:pPr>
        <w:spacing w:after="100"/>
      </w:pPr>
      <w:r>
        <w:rPr>
          <w:rFonts w:ascii="Aptos" w:hAnsi="Aptos"/>
          <w:b w:val="0"/>
          <w:i w:val="0"/>
        </w:rPr>
        <w:t xml:space="preserve">Executive summary: </w:t>
      </w:r>
      <w:r>
        <w:rPr>
          <w:rFonts w:ascii="Aptos" w:hAnsi="Aptos"/>
          <w:b w:val="0"/>
          <w:i w:val="0"/>
          <w:highlight w:val="yellow"/>
        </w:rPr>
        <w:t>{insert_quarterly_trustee_summary_covering_performance_allocation_compliance_risks_and_key_actions}</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Key Indicator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Current Quarter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Previous Quarter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Closing portfolio 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{closing_portfolio_value}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{previous_closing_portfolio_value}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Quarter return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{quarter_return}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{previous_quarter_return}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Benchmark return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{benchmark_return}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{previous_benchmark_return}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Excess / underperformance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{excess_or_underperformance}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{previous_excess_or_underperformance}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Income received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{income_received}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{previous_income_received}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Investment fees charged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{investment_fees_charged}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{previous_fees_charged}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Prescribed asset exposure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{prescribed_asset_exposure}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{previous_prescribed_asset_exposure}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Open compliance exceptions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{open_compliance_exceptions}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{previous_open_compliance_exceptions}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{comment}</w:t>
            </w:r>
          </w:p>
        </w:tc>
      </w:tr>
    </w:tbl>
    <w:p>
      <w:pPr>
        <w:spacing w:after="40"/>
      </w:pPr>
    </w:p>
    <w:p>
      <w:pPr>
        <w:pStyle w:val="Heading1"/>
        <w:spacing w:before="140" w:after="60"/>
      </w:pPr>
      <w:r>
        <w:t>5. Portfolio Valuation Summary</w:t>
      </w:r>
    </w:p>
    <w:tbl>
      <w:tblPr>
        <w:tblW w:type="auto" w:w="0"/>
        <w:jc w:val="center"/>
        <w:tblLayout w:type="autofit"/>
        <w:tblLook w:firstColumn="1" w:firstRow="1" w:lastColumn="0" w:lastRow="0" w:noHBand="0" w:noVBand="1" w:val="04A0"/>
      </w:tblPr>
      <w:tblGrid>
        <w:gridCol w:w="1800"/>
        <w:gridCol w:w="1800"/>
        <w:gridCol w:w="1800"/>
        <w:gridCol w:w="1800"/>
        <w:gridCol w:w="1800"/>
        <w:gridCol w:w="1800"/>
        <w:gridCol w:w="1800"/>
        <w:gridCol w:w="1800"/>
      </w:tblGrid>
      <w:tr>
        <w:trPr>
          <w:cantSplit/>
          <w:tblHeader w:val="true"/>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Asset Class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Opening 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Purchases / Contributions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Sales / Withdrawals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Income / Accruals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Market Movement</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Closing 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 of Portfolio</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Listed equities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{purchases_contributions}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{sales_withdrawals}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{income_accruals}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{market_movement}</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{closing_value}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{percentage_of_portfolio}</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Money market instruments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{purchases_contributions}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{sales_withdrawals}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{income_accruals}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{market_movement}</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{closing_value}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{percentage_of_portfolio}</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Bonds / fixed income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{purchases_contributions}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{sales_withdrawals}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{income_accruals}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{market_movement}</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{closing_value}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{percentage_of_portfolio}</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Property / REITs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{purchases_contributions}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{sales_withdrawals}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{income_accruals}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{market_movement}</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{closing_value}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{percentage_of_portfolio}</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Cash and cash equivalents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{purchases_contributions}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{sales_withdrawals}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{income_accruals}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{market_movement}</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{closing_value}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{percentage_of_portfolio}</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Other investments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{purchases_contributions}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{sales_withdrawals}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{income_accruals}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{market_movement}</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{closing_value}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{percentage_of_portfolio}</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{total_opening_value}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{total_purchases_contributions}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{total_sales_withdrawals}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{total_income_accruals}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{total_market_movement}</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{total_closing_value}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100%</w:t>
            </w:r>
          </w:p>
        </w:tc>
      </w:tr>
    </w:tbl>
    <w:p>
      <w:pPr>
        <w:spacing w:after="40"/>
      </w:pPr>
    </w:p>
    <w:p>
      <w:pPr>
        <w:pStyle w:val="Heading1"/>
        <w:spacing w:before="140" w:after="60"/>
      </w:pPr>
      <w:r>
        <w:t>6. Investment Performance Review</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Use approved performance calculations. Where returns are gross or net of fees, disclose the basis clearly. Do not override source returns inside this template.</w:t>
            </w:r>
          </w:p>
        </w:tc>
      </w:tr>
    </w:tbl>
    <w:p>
      <w:pPr>
        <w:spacing w:after="40"/>
      </w:pP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Performance Measure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Portfolio</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Benchmark</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Excess / Shortfall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Mandate Target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Quarter-to-date 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{qtd_portfolio_return}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{qtd_benchmark_return}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{qtd_excess_shortfall}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{mandate_target}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{met_not_met}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Year-to-date 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{ytd_portfolio_return}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{ytd_benchmark_return}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{ytd_excess_shortfall}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{mandate_target}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{met_not_met}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1-year 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{one_year_portfolio_return}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{one_year_benchmark_return}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{one_year_excess_shortfall}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{mandate_target}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{met_not_met}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3-year annualised 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{three_year_portfolio_return}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{three_year_benchmark_return}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{three_year_excess_shortfall}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{mandate_target}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{met_not_met}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Income yield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{income_yield}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{benchmark_income_yield}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{yield_difference}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{mandate_target}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{met_not_met}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Volatility / risk measure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{portfolio_risk_measure}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{benchmark_risk_measure}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{risk_difference}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{mandate_target}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{met_not_met}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bl>
    <w:p>
      <w:pPr>
        <w:spacing w:after="40"/>
      </w:pPr>
    </w:p>
    <w:p>
      <w:pPr>
        <w:spacing w:after="100"/>
      </w:pPr>
      <w:r>
        <w:rPr>
          <w:rFonts w:ascii="Aptos" w:hAnsi="Aptos"/>
          <w:b w:val="0"/>
          <w:i w:val="0"/>
        </w:rPr>
        <w:t xml:space="preserve">Portfolio manager commentary: </w:t>
      </w:r>
      <w:r>
        <w:rPr>
          <w:rFonts w:ascii="Aptos" w:hAnsi="Aptos"/>
          <w:b w:val="0"/>
          <w:i w:val="0"/>
          <w:highlight w:val="yellow"/>
        </w:rPr>
        <w:t>{insert_portfolio_manager_commentary_on_performance_drivers_attribution_market_context_and_outlook}</w:t>
      </w:r>
    </w:p>
    <w:p>
      <w:pPr>
        <w:pStyle w:val="Heading1"/>
        <w:spacing w:before="140" w:after="60"/>
      </w:pPr>
      <w:r>
        <w:t>7. Asset Allocation, Prescribed Assets and Exposure Review</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Exposure Category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Current 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Mandate / Regulatory 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Required 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Listed equities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{current_exposure}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{compliant_breach_watch}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{required_action}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Fixed income / bonds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{current_exposure}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{compliant_breach_watch}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{required_action}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Money market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{current_exposure}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{compliant_breach_watch}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{required_action}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Property / REITs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{current_exposure}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{compliant_breach_watch}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{required_action}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Cash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{current_exposure}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{compliant_breach_watch}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{required_action}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Single issuer concentration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{current_exposure}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{compliant_breach_watch}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{required_action}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Currency exposure - USD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{current_exposure}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{compliant_breach_watch}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{required_action}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Currency exposure - ZWG / ZiG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{current_exposure}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{compliant_breach_watch}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{required_action}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Prescribed asset 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{current_exposure}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{required_threshold}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{compliant_breach_watch}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{required_action}</w:t>
            </w:r>
          </w:p>
        </w:tc>
      </w:tr>
    </w:tbl>
    <w:p>
      <w:pPr>
        <w:spacing w:after="40"/>
      </w:pPr>
    </w:p>
    <w:p>
      <w:pPr>
        <w:pStyle w:val="Heading1"/>
        <w:spacing w:before="140" w:after="60"/>
      </w:pPr>
      <w:r>
        <w:t>8. Investment Compliance Report</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Compliance Test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Requirement / 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Actual Result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Breach 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Responsible 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Resolution Plan</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Mandate asset allocation limits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{requirement_or_limit}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{actual_result}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{pass_fail_watch}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{breach_date}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{resolution_plan}</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Restricted asset exposure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{requirement_or_limit}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{actual_result}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{pass_fail_watch}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{breach_date}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{resolution_plan}</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Issuer concentration limits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{requirement_or_limit}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{actual_result}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{pass_fail_watch}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{breach_date}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{resolution_plan}</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Liquidity 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{requirement_or_limit}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{actual_result}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{pass_fail_watch}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{breach_date}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{resolution_plan}</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Counterparty exposure 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{requirement_or_limit}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{actual_result}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{pass_fail_watch}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{breach_date}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{resolution_plan}</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Prescribed asset requirement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{requirement_or_limit}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{actual_result}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{pass_fail_watch}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{breach_date}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{resolution_plan}</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Reporting deadline compliance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{requirement_or_limit}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{actual_result}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{pass_fail_watch}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{breach_date}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{resolution_plan}</w:t>
            </w:r>
          </w:p>
        </w:tc>
      </w:tr>
    </w:tbl>
    <w:p>
      <w:pPr>
        <w:spacing w:after="40"/>
      </w:pPr>
    </w:p>
    <w:p>
      <w:pPr>
        <w:pStyle w:val="Heading1"/>
        <w:spacing w:before="140" w:after="60"/>
      </w:pPr>
      <w:r>
        <w:t>9. Portfolio Risk Report</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Risk Area</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Current Assessment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Trend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Impact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Mitigation / Control</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Trustee Attention Required</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Market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{current_assessment}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{improving_stable_deteriorating}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{impact}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{mitigation}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Liquidity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{current_assessment}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{improving_stable_deteriorating}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{impact}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{mitigation}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Concentration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{current_assessment}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{improving_stable_deteriorating}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{impact}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{mitigation}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Currency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{current_assessment}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{improving_stable_deteriorating}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{impact}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{mitigation}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Counterparty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{current_assessment}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{improving_stable_deteriorating}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{impact}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{mitigation}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Valuation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{current_assessment}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{improving_stable_deteriorating}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{impact}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{mitigation}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Operational / reconciliation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{current_assessment}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{improving_stable_deteriorating}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{impact}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{mitigation}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w:t>
            </w:r>
          </w:p>
        </w:tc>
      </w:tr>
    </w:tbl>
    <w:p>
      <w:pPr>
        <w:spacing w:after="40"/>
      </w:pPr>
    </w:p>
    <w:p>
      <w:pPr>
        <w:pStyle w:val="Heading1"/>
        <w:spacing w:before="140" w:after="60"/>
      </w:pPr>
      <w:r>
        <w:t>10. Investment Fee and Expense Review</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Fee / Expense Type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Calculation Basis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Amount for Quarter</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YTD 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Approved / Accrued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Variance / 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Investment management fee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{calculation_basis}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{quarter_amount}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{ytd_amount}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{approved_accrued}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{variance_comment}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Custody / trustee fee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{calculation_basis}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{quarter_amount}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{ytd_amount}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{approved_accrued}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{variance_comment}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Administration fee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{calculation_basis}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{quarter_amount}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{ytd_amount}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{approved_accrued}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{variance_comment}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Brokerage / transaction costs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{calculation_basis}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{quarter_amount}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{ytd_amount}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{approved_accrued}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{variance_comment}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VAT / taxes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{calculation_basis}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{quarter_amount}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{ytd_amount}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{approved_accrued}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{variance_comment}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Other expenses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{calculation_basis}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{quarter_amount}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{ytd_amount}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{approved_accrued}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{variance_comment}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{total_quarter_amount}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{total_ytd_amount}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{overall_status}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bl>
    <w:p>
      <w:pPr>
        <w:spacing w:after="40"/>
      </w:pPr>
    </w:p>
    <w:p>
      <w:pPr>
        <w:pStyle w:val="Heading1"/>
        <w:spacing w:before="140" w:after="60"/>
      </w:pPr>
      <w:r>
        <w:t>11. Trustee Decisions, Questions and Action Tracker</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Use this section to record matters requiring trustee review, board approval, consultant input or management action before the next reporting cycle.</w:t>
            </w:r>
          </w:p>
        </w:tc>
      </w:tr>
    </w:tbl>
    <w:p>
      <w:pPr>
        <w:spacing w:after="40"/>
      </w:pP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Action 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Matter / Question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Raised 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Due 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Management Response / Next Step</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{action_id_1}</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{matter_or_question_1}</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{raised_by_1}</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{owner_1}</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{due_date_1}</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{open_in_progress_closed}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{response_or_next_step_1}</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{action_id_2}</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{matter_or_question_2}</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{raised_by_2}</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{owner_2}</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{due_date_2}</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{open_in_progress_closed}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{response_or_next_step_2}</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{action_id_3}</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{matter_or_question_3}</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{raised_by_3}</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{owner_3}</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{due_date_3}</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{open_in_progress_closed}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{response_or_next_step_3}</w:t>
            </w:r>
          </w:p>
        </w:tc>
      </w:tr>
    </w:tbl>
    <w:p>
      <w:pPr>
        <w:spacing w:after="40"/>
      </w:pPr>
    </w:p>
    <w:p>
      <w:pPr>
        <w:pStyle w:val="Heading1"/>
        <w:spacing w:before="140" w:after="60"/>
      </w:pPr>
      <w:r>
        <w:t>12. Supporting Documents Register</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Type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Name / 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Source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ID / Link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Portfolio valuation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{portfolio_valuation_reference}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Holdings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{holdings_report_reference}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{arcus_or_custodian}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Performance calculation file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{performance_file_reference}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Asset allocation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{asset_allocation_reference}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Prescribed asset support schedule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{prescribed_asset_reference}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{arcus_or_administrator}</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{complete_pending_na}</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Fee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{fee_report_reference}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{arcus_or_accounting}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Compliance exception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{compliance_exception_reference}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{arcus_compliance}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{complete_pending_na}</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IPEC support schedule / workbook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{ipec_support_reference}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{administrator_or_arcus}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{complete_pending_na}</w:t>
            </w:r>
          </w:p>
        </w:tc>
      </w:tr>
    </w:tbl>
    <w:p>
      <w:pPr>
        <w:spacing w:after="40"/>
      </w:pPr>
    </w:p>
    <w:p>
      <w:pPr>
        <w:pStyle w:val="Heading1"/>
        <w:spacing w:before="140" w:after="60"/>
      </w:pPr>
      <w:r>
        <w:t>13. Management Declaration</w:t>
      </w:r>
    </w:p>
    <w:p>
      <w:pPr>
        <w:spacing w:after="100"/>
      </w:pPr>
      <w:r>
        <w:rPr>
          <w:rFonts w:ascii="Aptos" w:hAnsi="Aptos"/>
          <w:b w:val="0"/>
          <w:i w:val="0"/>
        </w:rPr>
        <w:t xml:space="preserve">Management confirms that this Trustee Quarterly Pack for </w:t>
      </w:r>
      <w:r>
        <w:rPr>
          <w:rFonts w:ascii="Aptos" w:hAnsi="Aptos"/>
          <w:b w:val="0"/>
          <w:i w:val="0"/>
          <w:highlight w:val="yellow"/>
        </w:rPr>
        <w:t>{pension_fund_or_client_name}</w:t>
      </w:r>
      <w:r>
        <w:rPr>
          <w:rFonts w:ascii="Aptos" w:hAnsi="Aptos"/>
          <w:b w:val="0"/>
          <w:i w:val="0"/>
        </w:rPr>
        <w:t xml:space="preserve"> has been prepared from approved Arcus source data and reviewed against the relevant mandate, valuation records, holdings records, fee records, compliance records and supporting evidence available as at </w:t>
      </w:r>
      <w:r>
        <w:rPr>
          <w:rFonts w:ascii="Aptos" w:hAnsi="Aptos"/>
          <w:b w:val="0"/>
          <w:i w:val="0"/>
          <w:highlight w:val="yellow"/>
        </w:rPr>
        <w:t>{approval_date}</w:t>
      </w:r>
      <w:r>
        <w:rPr>
          <w:rFonts w:ascii="Aptos" w:hAnsi="Aptos"/>
          <w:b w:val="0"/>
          <w:i w:val="0"/>
        </w:rPr>
        <w:t>.</w:t>
      </w:r>
    </w:p>
    <w:p>
      <w:pPr>
        <w:spacing w:after="100"/>
      </w:pPr>
      <w:r>
        <w:rPr>
          <w:rFonts w:ascii="Aptos" w:hAnsi="Aptos"/>
          <w:b w:val="0"/>
          <w:i w:val="0"/>
        </w:rPr>
        <w:t xml:space="preserve">Management exception statement: </w:t>
      </w:r>
      <w:r>
        <w:rPr>
          <w:rFonts w:ascii="Aptos" w:hAnsi="Aptos"/>
          <w:b w:val="0"/>
          <w:i w:val="0"/>
          <w:highlight w:val="yellow"/>
        </w:rPr>
        <w:t>{insert_management_statement_on_unresolved_exceptions_or_confirm_none}</w:t>
      </w:r>
    </w:p>
    <w:p>
      <w:r>
        <w:br w:type="page"/>
      </w:r>
    </w:p>
    <w:p>
      <w:pPr>
        <w:pStyle w:val="Heading1"/>
        <w:spacing w:before="140" w:after="60"/>
      </w:pPr>
      <w:r>
        <w:t>14. Approval and Certification</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Role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Signature / Digital 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Prepared By - Maker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{prepared_by___maker_signature_or_digital_approval}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Reviewed By - Operations Checker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{reviewed_by___operations_checker_name}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{reviewed_by___operations_checker_designation}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{reviewed_by___operations_checker_date}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{reviewed_by___operations_checker_signature_or_digital_approval}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Review</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{compliance_review_signature_or_digital_approval}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Portfolio Manager Approval</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{portfolio_manager_approval_name}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{portfolio_manager_approval_designation}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{portfolio_manager_approval_date}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{portfolio_manager_approval_signature_or_digital_approval}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Authorised Officer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{authorised_officer_name}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{authorised_officer_designation}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{authorised_officer_date}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{authorised_officer_signature_or_digital_approval}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 Board Acknowledgement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{trustee___board_acknowledgement_name}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{trustee___board_acknowledgement_designation}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{trustee___board_acknowledgement_date}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{trustee___board_acknowledgement_signature_or_digital_approval}</w:t>
            </w:r>
          </w:p>
        </w:tc>
      </w:tr>
    </w:tbl>
    <w:p>
      <w:pPr>
        <w:spacing w:after="40"/>
      </w:pPr>
    </w:p>
    <w:p>
      <w:pPr>
        <w:pStyle w:val="Heading1"/>
        <w:spacing w:before="140" w:after="60"/>
      </w:pPr>
      <w:r>
        <w:t>15. Audit Trail and System Controls</w:t>
      </w:r>
    </w:p>
    <w:tbl>
      <w:tblPr>
        <w:tblW w:type="auto" w:w="0"/>
        <w:jc w:val="center"/>
        <w:tblLayout w:type="autofit"/>
        <w:tblLook w:firstColumn="1" w:firstRow="1" w:lastColumn="0" w:lastRow="0" w:noHBand="0" w:noVBand="1" w:val="04A0"/>
      </w:tblPr>
      <w:tblGrid>
        <w:gridCol w:w="7200"/>
        <w:gridCol w:w="7200"/>
      </w:tblGrid>
      <w:tr>
        <w:trPr>
          <w:cantSplit/>
          <w:tblHeader w:val="true"/>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Field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Detail</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Report Run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{reporting_run_id}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Report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{generated_report_id}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Source Snapshot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{source_snapshot_id}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Portfolio Valuation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{portfolio_valuation_id}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Check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{compliance_check_id}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By</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{generated_by_user}</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Generated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{generated_datetime}</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Maker Review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{maker_review_datetime}</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Checker Approval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{checker_approval_datetime}</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Release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{not_released_released_acknowledged}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Archive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{draft_locked_archived_reissued}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Document Hash / Checksum</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{document_hash}</w:t>
            </w:r>
          </w:p>
        </w:tc>
      </w:tr>
    </w:tbl>
    <w:p>
      <w:pPr>
        <w:spacing w:after="40"/>
      </w:pPr>
    </w:p>
    <w:p>
      <w:pPr>
        <w:pStyle w:val="Heading1"/>
        <w:spacing w:before="140" w:after="60"/>
      </w:pPr>
      <w:r>
        <w:t>16. Standard Disclaimer</w:t>
      </w:r>
    </w:p>
    <w:p>
      <w:pPr>
        <w:spacing w:after="100"/>
      </w:pPr>
      <w:r>
        <w:rPr>
          <w:rFonts w:ascii="Aptos" w:hAnsi="Aptos"/>
          <w:b w:val="0"/>
          <w:i w:val="0"/>
        </w:rPr>
        <w:t>This Trustee Quarterly Pack is prepared for governance, oversight and mandate monitoring purposes. It does not constitute investment advice to individual members, tax advice, legal advice, an audit opinion, actuarial advice or an official regulatory filing. It must be read together with the applicable fund rules, investment policy statement, investment mandate, administrator records, trustee correspondence and approved source evidence.</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val="0"/>
              <w:i w:val="0"/>
              <w:color w:val="6B7280"/>
              <w:sz w:val="14"/>
            </w:rPr>
            <w:t>Confidential Reporting Template | System-generated from approved Arcus source data</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6B7280"/>
              <w:sz w:val="14"/>
            </w:rPr>
            <w:t xml:space="preserve">Document checksum: </w:t>
          </w:r>
          <w:r>
            <w:rPr>
              <w:rFonts w:ascii="Aptos" w:hAnsi="Aptos"/>
              <w:b w:val="0"/>
              <w:i w:val="0"/>
              <w:highlight w:val="yellow"/>
            </w:rPr>
            <w:t>{document_hash}</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i w:val="0"/>
              <w:color w:val="1688E8"/>
              <w:sz w:val="20"/>
            </w:rPr>
            <w:t>■ ARCUS</w:t>
          </w:r>
          <w:r>
            <w:rPr>
              <w:rFonts w:ascii="Aptos" w:hAnsi="Aptos"/>
              <w:b/>
              <w:i w:val="0"/>
              <w:color w:val="071426"/>
              <w:sz w:val="20"/>
            </w:rPr>
            <w:t xml:space="preserve"> REPORTING TEMPLATE</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071426"/>
              <w:sz w:val="14"/>
            </w:rPr>
            <w:t>Trustee Quarterly Pack | Pension Mandate / Institutional Investor Reporting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4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142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1426"/>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