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ptos" w:hAnsi="Aptos"/>
          <w:b/>
          <w:i w:val="0"/>
          <w:color w:val="1688E8"/>
          <w:sz w:val="26"/>
        </w:rPr>
        <w:t>ARCUS</w:t>
      </w:r>
    </w:p>
    <w:p>
      <w:pPr>
        <w:jc w:val="center"/>
      </w:pPr>
      <w:r>
        <w:rPr>
          <w:rFonts w:ascii="Aptos" w:hAnsi="Aptos"/>
          <w:b/>
          <w:i w:val="0"/>
          <w:color w:val="071426"/>
          <w:sz w:val="42"/>
        </w:rPr>
        <w:t>SUBSCRIPTIONS AND REDEMPTIONS REPORT</w:t>
      </w:r>
    </w:p>
    <w:p>
      <w:pPr>
        <w:jc w:val="center"/>
      </w:pPr>
      <w:r>
        <w:rPr>
          <w:rFonts w:ascii="Aptos" w:hAnsi="Aptos"/>
          <w:b w:val="0"/>
          <w:i w:val="0"/>
          <w:color w:val="4B5563"/>
          <w:sz w:val="20"/>
        </w:rPr>
        <w:t>Collective Investment Scheme, Unit Trust and Investor Registry Movement Template</w:t>
      </w:r>
    </w:p>
    <w:p>
      <w:pPr>
        <w:jc w:val="center"/>
      </w:pPr>
      <w:r>
        <w:rPr>
          <w:rFonts w:ascii="Aptos" w:hAnsi="Aptos"/>
          <w:b/>
          <w:i w:val="0"/>
          <w:color w:val="071426"/>
          <w:sz w:val="18"/>
        </w:rPr>
        <w:t>Confidential Fund Administration and Regulatory Evidence Document</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Replace all yellow highlighted fields before issuing. Blue instruction boxes are preparation guidance and should be deleted, hidden or retained only in internal working versions. Plain black text is standard wording and should not be changed unless authorised by legal, compliance or the responsible officer.</w:t>
            </w:r>
          </w:p>
        </w:tc>
      </w:tr>
    </w:tbl>
    <w:p>
      <w:pPr>
        <w:spacing w:after="40"/>
      </w:pPr>
    </w:p>
    <w:tbl>
      <w:tblPr>
        <w:tblW w:type="auto" w:w="0"/>
        <w:jc w:val="center"/>
        <w:tblLayout w:type="autofit"/>
        <w:tblLook w:firstColumn="1" w:firstRow="1" w:lastColumn="0" w:lastRow="0" w:noHBand="0" w:noVBand="1" w:val="04A0"/>
      </w:tblPr>
      <w:tblGrid>
        <w:gridCol w:w="7200"/>
        <w:gridCol w:w="7200"/>
      </w:tblGrid>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Scheme / Fund Name</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{scheme_or_fund_name}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Manager / Operator</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{manager_or_operator_name}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Trustee / Custodian</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{trustee_or_custodian_name}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Administrator / Registrar</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{administrator_or_registrar_name}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Reporting Period</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{period_start_date} to {period_end_date}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Dealing Period</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{daily_weekly_monthly_quarterly_other}</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Fund Class / Share Class</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{fund_class_or_share_class}</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Base Currency</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{base_currency}</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NAV Date / Price Date</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{nav_date_or_price_date}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Prepared For</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{management_trustee_compliance_seczim_support_auditor}</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Report Version</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{version_number}</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Document Status</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{draft_under_review_approved_submitted_archived}</w:t>
            </w:r>
          </w:p>
        </w:tc>
      </w:tr>
    </w:tbl>
    <w:p>
      <w:pPr>
        <w:spacing w:after="40"/>
      </w:pPr>
    </w:p>
    <w:p>
      <w:pPr>
        <w:pStyle w:val="Heading1"/>
        <w:spacing w:before="140" w:after="60"/>
      </w:pPr>
      <w:r>
        <w:t>Template Use Guide</w:t>
      </w:r>
    </w:p>
    <w:tbl>
      <w:tblPr>
        <w:tblW w:type="auto" w:w="0"/>
        <w:jc w:val="center"/>
        <w:tblLayout w:type="autofit"/>
        <w:tblLook w:firstColumn="1" w:firstRow="1" w:lastColumn="0" w:lastRow="0" w:noHBand="0" w:noVBand="1" w:val="04A0"/>
      </w:tblPr>
      <w:tblGrid>
        <w:gridCol w:w="4800"/>
        <w:gridCol w:w="4800"/>
        <w:gridCol w:w="4800"/>
      </w:tblGrid>
      <w:tr>
        <w:trPr>
          <w:cantSplit/>
          <w:tblHeader w:val="true"/>
        </w:trPr>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i w:val="0"/>
                <w:color w:val="FFFFFF"/>
                <w:sz w:val="14"/>
              </w:rPr>
              <w:t>Visual Marker</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i w:val="0"/>
                <w:color w:val="FFFFFF"/>
                <w:sz w:val="14"/>
              </w:rPr>
              <w:t>Meaning</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i w:val="0"/>
                <w:color w:val="FFFFFF"/>
                <w:sz w:val="14"/>
              </w:rPr>
              <w:t>Action Required</w:t>
            </w:r>
          </w:p>
        </w:tc>
      </w:tr>
      <w:tr>
        <w:trPr>
          <w:cantSplit/>
        </w:trPr>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Yellow highlighted text</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Editable placeholder field</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Replace with actual system-generated or approved value</w:t>
            </w:r>
          </w:p>
        </w:tc>
      </w:tr>
      <w:tr>
        <w:trPr>
          <w:cantSplit/>
        </w:trPr>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rPr>
              <w:t>Blue instruction box</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rPr>
              <w:t>Guidance for preparer/reviewer</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rPr>
              <w:t>Delete, hide or retain internally before final issue</w:t>
            </w:r>
          </w:p>
        </w:tc>
      </w:tr>
      <w:tr>
        <w:trPr>
          <w:cantSplit/>
        </w:trPr>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Plain black text</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Standard report wording</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Keep unless authorised by legal/compliance</w:t>
            </w:r>
          </w:p>
        </w:tc>
      </w:tr>
    </w:tbl>
    <w:p>
      <w:pPr>
        <w:spacing w:after="40"/>
      </w:pPr>
    </w:p>
    <w:p>
      <w:pPr>
        <w:pStyle w:val="Heading1"/>
        <w:spacing w:before="140" w:after="60"/>
      </w:pPr>
      <w:r>
        <w:t>1. Purpose and Scope</w:t>
      </w:r>
    </w:p>
    <w:p>
      <w:pPr>
        <w:spacing w:after="100"/>
      </w:pPr>
      <w:r>
        <w:rPr>
          <w:rFonts w:ascii="Aptos" w:hAnsi="Aptos"/>
          <w:b w:val="0"/>
          <w:i w:val="0"/>
        </w:rPr>
        <w:t xml:space="preserve">This Subscriptions and Redemptions Report is prepared for </w:t>
      </w:r>
      <w:r>
        <w:rPr>
          <w:rFonts w:ascii="Aptos" w:hAnsi="Aptos"/>
          <w:b w:val="0"/>
          <w:i w:val="0"/>
          <w:highlight w:val="yellow"/>
        </w:rPr>
        <w:t>{scheme_or_fund_name}</w:t>
      </w:r>
      <w:r>
        <w:rPr>
          <w:rFonts w:ascii="Aptos" w:hAnsi="Aptos"/>
          <w:b w:val="0"/>
          <w:i w:val="0"/>
        </w:rPr>
        <w:t xml:space="preserve"> for the period ended </w:t>
      </w:r>
      <w:r>
        <w:rPr>
          <w:rFonts w:ascii="Aptos" w:hAnsi="Aptos"/>
          <w:b w:val="0"/>
          <w:i w:val="0"/>
          <w:highlight w:val="yellow"/>
        </w:rPr>
        <w:t>{period_end_date}</w:t>
      </w:r>
      <w:r>
        <w:rPr>
          <w:rFonts w:ascii="Aptos" w:hAnsi="Aptos"/>
          <w:b w:val="0"/>
          <w:i w:val="0"/>
        </w:rPr>
        <w:t>. It summarises investor subscriptions, redemptions, switches, transfers, cash settlement status, unit movements, NAV price basis, dealing exceptions and supporting evidence for fund administration, trustee oversight, investor registry control and regulatory support.</w:t>
      </w:r>
    </w:p>
    <w:p>
      <w:pPr>
        <w:spacing w:after="100"/>
      </w:pPr>
      <w:r>
        <w:rPr>
          <w:rFonts w:ascii="Aptos" w:hAnsi="Aptos"/>
          <w:b w:val="0"/>
          <w:i w:val="0"/>
        </w:rPr>
        <w:t>The report is generated from approved Arcus source data, including investor registry records, subscriptions, redemptions, unit-holder transactions, cash balances, NAV records, bank reconciliation items, AML/CFT/CPF checks, fee deductions and supporting documents.</w:t>
      </w:r>
    </w:p>
    <w:p>
      <w:pPr>
        <w:spacing w:after="100"/>
      </w:pPr>
      <w:r>
        <w:rPr>
          <w:rFonts w:ascii="Aptos" w:hAnsi="Aptos"/>
          <w:b/>
          <w:i w:val="0"/>
        </w:rPr>
        <w:t xml:space="preserve">Important: </w:t>
      </w:r>
      <w:r>
        <w:rPr>
          <w:rFonts w:ascii="Aptos" w:hAnsi="Aptos"/>
          <w:b w:val="0"/>
          <w:i w:val="0"/>
        </w:rPr>
        <w:t>This report is a support schedule and does not replace any official CIS monthly return, trustee certificate, custodian confirmation, bank statement, audited financial statement or regulator-prescribed return. Any official filing must be approved through the relevant authorised process.</w:t>
      </w:r>
    </w:p>
    <w:p>
      <w:pPr>
        <w:pStyle w:val="Heading1"/>
        <w:spacing w:before="140" w:after="60"/>
      </w:pPr>
      <w:r>
        <w:t>2. Legal, Scheme and Dealing Basis</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Complete using the scheme rules, trust deed, prospectus, offering memorandum, unit pricing policy, cut-off times, dealing procedures and applicable compliance rules. Disclose any deviations from the approved dealing process.</w:t>
            </w:r>
          </w:p>
        </w:tc>
      </w:tr>
    </w:tbl>
    <w:p>
      <w:pPr>
        <w:spacing w:after="40"/>
      </w:pPr>
    </w:p>
    <w:tbl>
      <w:tblPr>
        <w:tblW w:type="auto" w:w="0"/>
        <w:jc w:val="center"/>
        <w:tblLayout w:type="autofit"/>
        <w:tblLook w:firstColumn="1" w:firstRow="1" w:lastColumn="0" w:lastRow="0" w:noHBand="0" w:noVBand="1" w:val="04A0"/>
      </w:tblPr>
      <w:tblGrid>
        <w:gridCol w:w="7200"/>
        <w:gridCol w:w="7200"/>
      </w:tblGrid>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Governing Documents</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{trust_deed_prospectus_scheme_rules_offering_document_other}</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Transaction Types Covered</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{subscriptions_redemptions_switches_transfers_reinvestments_other}</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Dealing Frequency</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{daily_weekly_monthly_other}</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Subscription Cut-off Time</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{subscription_cut_off_time}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Redemption Cut-off Time</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{redemption_cut_off_time}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Settlement Cycle</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{t_plus_0_t_plus_1_t_plus_3_other}</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Pricing Basis</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{forward_pricing_historic_pricing_nav_per_unit_other}</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AML/KYC Requirement</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{kyc_required_before_units_issued_or_redemption_paid}</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Primary Arcus Source Module</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{stock_price_collector_portfolio_valuation_investor_registry_accounting}</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Materiality / Tolerance Rule</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{materiality_or_tolerance_rule}</w:t>
            </w:r>
          </w:p>
        </w:tc>
      </w:tr>
    </w:tbl>
    <w:p>
      <w:pPr>
        <w:spacing w:after="40"/>
      </w:pPr>
    </w:p>
    <w:p>
      <w:pPr>
        <w:pStyle w:val="Heading1"/>
        <w:spacing w:before="140" w:after="60"/>
      </w:pPr>
      <w:r>
        <w:t>3. Transaction Control Checklist</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All mandatory controls should be completed before units are finalised, NAV is released or the report is approved. Items marked No or N/A must be explained in the exception register.</w:t>
            </w:r>
          </w:p>
        </w:tc>
      </w:tr>
    </w:tbl>
    <w:p>
      <w:pPr>
        <w:spacing w:after="40"/>
      </w:pPr>
    </w:p>
    <w:tbl>
      <w:tblPr>
        <w:tblW w:type="auto" w:w="0"/>
        <w:jc w:val="center"/>
        <w:tblLayout w:type="autofit"/>
        <w:tblLook w:firstColumn="1" w:firstRow="1" w:lastColumn="0" w:lastRow="0" w:noHBand="0" w:noVBand="1" w:val="04A0"/>
      </w:tblPr>
      <w:tblGrid>
        <w:gridCol w:w="2880"/>
        <w:gridCol w:w="2880"/>
        <w:gridCol w:w="2880"/>
        <w:gridCol w:w="2880"/>
        <w:gridCol w:w="2880"/>
      </w:tblGrid>
      <w:tr>
        <w:trPr>
          <w:cantSplit/>
          <w:tblHeader w:val="true"/>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Control Check</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Completed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Reviewed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Evidence Reference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Comment / Exception</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Subscription applications received and validated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Redemption instructions received and validated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Investor KYC / AML status checked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Sanctions / PEP screening completed where required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Subscription cash matched to bank receipt</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Redemption cash paid from approved bank account</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NAV per unit approved before unit allocation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Fees, taxes and charges applied correctly</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Unit-holder register updated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Trustee / custodian reconciliation completed where applicable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Maker-checker approval completed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{evidence_ref}</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bl>
    <w:p>
      <w:pPr>
        <w:spacing w:after="40"/>
      </w:pPr>
    </w:p>
    <w:p>
      <w:pPr>
        <w:pStyle w:val="Heading1"/>
        <w:spacing w:before="140" w:after="60"/>
      </w:pPr>
      <w:r>
        <w:t>4. Dealing Period Summary</w:t>
      </w:r>
    </w:p>
    <w:tbl>
      <w:tblPr>
        <w:tblW w:type="auto" w:w="0"/>
        <w:jc w:val="center"/>
        <w:tblLayout w:type="autofit"/>
        <w:tblLook w:firstColumn="1" w:firstRow="1" w:lastColumn="0" w:lastRow="0" w:noHBand="0" w:noVBand="1" w:val="04A0"/>
      </w:tblPr>
      <w:tblGrid>
        <w:gridCol w:w="2057"/>
        <w:gridCol w:w="2057"/>
        <w:gridCol w:w="2057"/>
        <w:gridCol w:w="2057"/>
        <w:gridCol w:w="2057"/>
        <w:gridCol w:w="2057"/>
        <w:gridCol w:w="2057"/>
      </w:tblGrid>
      <w:tr>
        <w:trPr>
          <w:cantSplit/>
          <w:tblHeader w:val="true"/>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Measure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Count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Gross Amount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Charges / Taxes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Net Amount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Units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Comment</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Opening units in issue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{opening_units}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Subscriptions accepted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{subscription_count}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{gross_subscription_amount}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{subscription_charges_taxes}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{net_subscription_amount}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{subscription_units_issued}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{comment}</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Redemptions accepted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{redemption_count}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{gross_redemption_amount}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{redemption_charges_taxes}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{net_redemption_amount}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{redemption_units_redeemed}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Switches / transfers in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{switch_transfer_in_count}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{gross_switch_transfer_in_amount}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{charges_taxes}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{net_switch_transfer_in_amount}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{units_in}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{comment}</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Switches / transfers out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{switch_transfer_out_count}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{gross_switch_transfer_out_amount}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{charges_taxes}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{net_switch_transfer_out_amount}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{units_out}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Reinvestments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{reinvestment_count}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{gross_reinvestment_amount}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{charges_taxes}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{net_reinvestment_amount}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{reinvestment_units}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{comment}</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Closing units in issue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{closing_units}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bl>
    <w:p>
      <w:pPr>
        <w:spacing w:after="40"/>
      </w:pPr>
    </w:p>
    <w:p>
      <w:pPr>
        <w:pStyle w:val="Heading1"/>
        <w:spacing w:before="140" w:after="60"/>
      </w:pPr>
      <w:r>
        <w:t>5. Detailed Subscriptions Schedule</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List every subscription accepted during the period. Applications not accepted or pending cash/KYC should be recorded in the exception section, not included as settled subscriptions unless approved by policy.</w:t>
            </w:r>
          </w:p>
        </w:tc>
      </w:tr>
    </w:tbl>
    <w:p>
      <w:pPr>
        <w:spacing w:after="40"/>
      </w:pPr>
    </w:p>
    <w:tbl>
      <w:tblPr>
        <w:tblW w:type="auto" w:w="0"/>
        <w:jc w:val="center"/>
        <w:tblLayout w:type="autofit"/>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rPr>
          <w:cantSplit/>
          <w:tblHeader w:val="true"/>
        </w:trP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Investor / Unit-holder</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Investor ID</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Application Date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Cash Receipt Date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Currency</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Gross Amount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Charges / Taxes</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Net Amount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NAV Price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Units Issued</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Settlement Status</w:t>
            </w:r>
          </w:p>
        </w:tc>
      </w:tr>
      <w:tr>
        <w:trPr>
          <w:cantSplit/>
        </w:trP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{investor_name_1}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{investor_id_1}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{application_date_1}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{cash_receipt_date_1}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{currency_1}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{gross_amount_1}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{charges_taxes_1}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{net_amount_1}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{nav_price_1}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{units_issued_1}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{settled_pending_exception}</w:t>
            </w:r>
          </w:p>
        </w:tc>
      </w:tr>
      <w:tr>
        <w:trPr>
          <w:cantSplit/>
        </w:trP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{investor_name_2}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{investor_id_2}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{application_date_2}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{cash_receipt_date_2}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{currency_2}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{gross_amount_2}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{charges_taxes_2}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{net_amount_2}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{nav_price_2}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{units_issued_2}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{settled_pending_exception}</w:t>
            </w:r>
          </w:p>
        </w:tc>
      </w:tr>
      <w:tr>
        <w:trPr>
          <w:cantSplit/>
        </w:trP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{investor_name_3}</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{investor_id_3}</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{application_date_3}</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{cash_receipt_date_3}</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{currency_3}</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{gross_amount_3}</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{charges_taxes_3}</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{net_amount_3}</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{nav_price_3}</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{units_issued_3}</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{settled_pending_exception}</w:t>
            </w:r>
          </w:p>
        </w:tc>
      </w:tr>
      <w:tr>
        <w:trPr>
          <w:cantSplit/>
        </w:trP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Total</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{total_gross_amount}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{total_charges_taxes}</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{total_net_amount}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{total_units_issued}</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{overall_status}</w:t>
            </w:r>
          </w:p>
        </w:tc>
      </w:tr>
    </w:tbl>
    <w:p>
      <w:pPr>
        <w:spacing w:after="40"/>
      </w:pPr>
    </w:p>
    <w:p>
      <w:pPr>
        <w:pStyle w:val="Heading1"/>
        <w:spacing w:before="140" w:after="60"/>
      </w:pPr>
      <w:r>
        <w:t>6. Detailed Redemptions Schedule</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List every redemption accepted during the period. Ensure the registered unit-holder, authorised signatory, bank account, unit balance, price basis and payment approval have been checked before final payment.</w:t>
            </w:r>
          </w:p>
        </w:tc>
      </w:tr>
    </w:tbl>
    <w:p>
      <w:pPr>
        <w:spacing w:after="40"/>
      </w:pPr>
    </w:p>
    <w:tbl>
      <w:tblPr>
        <w:tblW w:type="auto" w:w="0"/>
        <w:jc w:val="center"/>
        <w:tblLayout w:type="autofit"/>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rPr>
          <w:cantSplit/>
          <w:tblHeader w:val="true"/>
        </w:trP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Investor / Unit-holder</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Investor ID</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Instruction Date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Payment Date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Currency</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Gross Redemption</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Charges / Taxes</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Net Paid</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NAV Price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Units Redeemed</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Settlement Status</w:t>
            </w:r>
          </w:p>
        </w:tc>
      </w:tr>
      <w:tr>
        <w:trPr>
          <w:cantSplit/>
        </w:trP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{investor_name_1}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{investor_id_1}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{instruction_date_1}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{payment_date_1}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{currency_1}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{gross_redemption_1}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{charges_taxes_1}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{net_paid_1}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{nav_price_1}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{units_redeemed_1}</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{settled_pending_exception}</w:t>
            </w:r>
          </w:p>
        </w:tc>
      </w:tr>
      <w:tr>
        <w:trPr>
          <w:cantSplit/>
        </w:trP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{investor_name_2}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{investor_id_2}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{instruction_date_2}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{payment_date_2}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{currency_2}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{gross_redemption_2}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{charges_taxes_2}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{net_paid_2}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{nav_price_2}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{units_redeemed_2}</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{settled_pending_exception}</w:t>
            </w:r>
          </w:p>
        </w:tc>
      </w:tr>
      <w:tr>
        <w:trPr>
          <w:cantSplit/>
        </w:trP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{investor_name_3}</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{investor_id_3}</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{instruction_date_3}</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{payment_date_3}</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{currency_3}</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{gross_redemption_3}</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{charges_taxes_3}</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{net_paid_3}</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{nav_price_3}</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{units_redeemed_3}</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{settled_pending_exception}</w:t>
            </w:r>
          </w:p>
        </w:tc>
      </w:tr>
      <w:tr>
        <w:trPr>
          <w:cantSplit/>
        </w:trP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Total</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{total_gross_redemption}</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{total_charges_taxes}</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{total_net_paid}</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{total_units_redeemed}</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{overall_status}</w:t>
            </w:r>
          </w:p>
        </w:tc>
      </w:tr>
    </w:tbl>
    <w:p>
      <w:pPr>
        <w:spacing w:after="40"/>
      </w:pPr>
    </w:p>
    <w:p>
      <w:pPr>
        <w:pStyle w:val="Heading1"/>
        <w:spacing w:before="140" w:after="60"/>
      </w:pPr>
      <w:r>
        <w:t>7. Units Roll-Forward</w:t>
      </w:r>
    </w:p>
    <w:tbl>
      <w:tblPr>
        <w:tblW w:type="auto" w:w="0"/>
        <w:jc w:val="center"/>
        <w:tblLayout w:type="autofit"/>
        <w:tblLook w:firstColumn="1" w:firstRow="1" w:lastColumn="0" w:lastRow="0" w:noHBand="0" w:noVBand="1" w:val="04A0"/>
      </w:tblPr>
      <w:tblGrid>
        <w:gridCol w:w="2880"/>
        <w:gridCol w:w="2880"/>
        <w:gridCol w:w="2880"/>
        <w:gridCol w:w="2880"/>
        <w:gridCol w:w="2880"/>
      </w:tblGrid>
      <w:tr>
        <w:trPr>
          <w:cantSplit/>
          <w:tblHeader w:val="true"/>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Unit Movement Component</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Units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NAV / Price Basis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Value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Opening units in issue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{opening_units}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{opening_nav_price}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{opening_value}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Add: Subscription units issued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{subscription_units_issued}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{subscription_price_basis}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{subscription_value}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Add / Less: Switches or transfers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{switch_transfer_units_net}</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{switch_transfer_price_basis}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{switch_transfer_value}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Add: Reinvestment units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{reinvestment_units}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{reinvestment_price_basis}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{reinvestment_value}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Less: Redemption units redeemed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{redemption_units_redeemed}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{redemption_price_basis}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{redemption_value}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Adjustments / corrections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{adjustment_units}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{adjustment_basis}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{adjustment_value}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Closing units in issue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{closing_units}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{closing_nav_price}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{closing_value}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bl>
    <w:p>
      <w:pPr>
        <w:spacing w:after="40"/>
      </w:pPr>
    </w:p>
    <w:p>
      <w:pPr>
        <w:pStyle w:val="Heading1"/>
        <w:spacing w:before="140" w:after="60"/>
      </w:pPr>
      <w:r>
        <w:t>8. NAV Pricing and Dealing Price Control</w:t>
      </w:r>
    </w:p>
    <w:tbl>
      <w:tblPr>
        <w:tblW w:type="auto" w:w="0"/>
        <w:jc w:val="center"/>
        <w:tblLayout w:type="autofit"/>
        <w:tblLook w:firstColumn="1" w:firstRow="1" w:lastColumn="0" w:lastRow="0" w:noHBand="0" w:noVBand="1" w:val="04A0"/>
      </w:tblPr>
      <w:tblGrid>
        <w:gridCol w:w="2400"/>
        <w:gridCol w:w="2400"/>
        <w:gridCol w:w="2400"/>
        <w:gridCol w:w="2400"/>
        <w:gridCol w:w="2400"/>
        <w:gridCol w:w="2400"/>
      </w:tblGrid>
      <w:tr>
        <w:trPr>
          <w:cantSplit/>
          <w:tblHeader w:val="true"/>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Control Point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Value / Status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Approved By</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Approval Date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Evidence Reference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Comment</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NAV calculation completed</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{yes_no}</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{approved_by}</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{approval_date}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{evidence_ref}</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NAV per unit used for subscriptions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{subscription_nav_per_unit}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{approved_by}</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{approval_date}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{evidence_ref}</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{comment}</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NAV per unit used for redemptions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{redemption_nav_per_unit}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{approved_by}</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{approval_date}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{evidence_ref}</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Swing pricing / dilution levy applied, if applicable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{yes_no_na}</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{approved_by}</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{approval_date}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{evidence_ref}</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{comment}</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Pricing error check completed</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{yes_no}</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{approved_by}</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{approval_date}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{evidence_ref}</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Late deals or exceptions approved</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{yes_no_na}</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{approved_by}</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{approval_date}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{evidence_ref}</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{comment}</w:t>
            </w:r>
          </w:p>
        </w:tc>
      </w:tr>
    </w:tbl>
    <w:p>
      <w:pPr>
        <w:spacing w:after="40"/>
      </w:pPr>
    </w:p>
    <w:p>
      <w:pPr>
        <w:pStyle w:val="Heading1"/>
        <w:spacing w:before="140" w:after="60"/>
      </w:pPr>
      <w:r>
        <w:t>9. Cash Settlement and Bank Reconciliation</w:t>
      </w:r>
    </w:p>
    <w:tbl>
      <w:tblPr>
        <w:tblW w:type="auto" w:w="0"/>
        <w:jc w:val="center"/>
        <w:tblLayout w:type="autofit"/>
        <w:tblLook w:firstColumn="1" w:firstRow="1" w:lastColumn="0" w:lastRow="0" w:noHBand="0" w:noVBand="1" w:val="04A0"/>
      </w:tblPr>
      <w:tblGrid>
        <w:gridCol w:w="2057"/>
        <w:gridCol w:w="2057"/>
        <w:gridCol w:w="2057"/>
        <w:gridCol w:w="2057"/>
        <w:gridCol w:w="2057"/>
        <w:gridCol w:w="2057"/>
        <w:gridCol w:w="2057"/>
      </w:tblGrid>
      <w:tr>
        <w:trPr>
          <w:cantSplit/>
          <w:tblHeader w:val="true"/>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Cash Item</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Arcus Amount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Bank / Custodian Amount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Difference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Settlement Date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Status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Comment</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Subscription receipts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{arcus_subscription_receipts}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{bank_subscription_receipts}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{difference}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{settlement_date}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{matched_exception}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Redemption payments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{arcus_redemption_payments}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{bank_redemption_payments}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{difference}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{settlement_date}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{matched_exception}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{comment}</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Switch / transfer cash</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{arcus_switch_transfer_cash}</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{bank_switch_transfer_cash}</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{difference}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{settlement_date}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{matched_exception}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Charges and fees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{arcus_charges_fees}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{bank_charges_fees}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{difference}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{settlement_date}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{matched_exception}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{comment}</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Taxes / withholding, if any</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{arcus_taxes_withholding}</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{bank_taxes_withholding}</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{difference}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{settlement_date}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{matched_exception}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Unmatched bank items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{arcus_unmatched_items}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{bank_unmatched_items}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{difference}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{settlement_date}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{matched_exception}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{comment}</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Total</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{total_arcus_cash}</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{total_bank_cash}</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{total_difference}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{overall_status}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bl>
    <w:p>
      <w:pPr>
        <w:spacing w:after="40"/>
      </w:pPr>
    </w:p>
    <w:p>
      <w:pPr>
        <w:pStyle w:val="Heading1"/>
        <w:spacing w:before="140" w:after="60"/>
      </w:pPr>
      <w:r>
        <w:t>10. AML / KYC and Investor Eligibility Checks</w:t>
      </w:r>
    </w:p>
    <w:tbl>
      <w:tblPr>
        <w:tblW w:type="auto" w:w="0"/>
        <w:jc w:val="center"/>
        <w:tblLayout w:type="autofit"/>
        <w:tblLook w:firstColumn="1" w:firstRow="1" w:lastColumn="0" w:lastRow="0" w:noHBand="0" w:noVBand="1" w:val="04A0"/>
      </w:tblPr>
      <w:tblGrid>
        <w:gridCol w:w="2057"/>
        <w:gridCol w:w="2057"/>
        <w:gridCol w:w="2057"/>
        <w:gridCol w:w="2057"/>
        <w:gridCol w:w="2057"/>
        <w:gridCol w:w="2057"/>
        <w:gridCol w:w="2057"/>
      </w:tblGrid>
      <w:tr>
        <w:trPr>
          <w:cantSplit/>
          <w:tblHeader w:val="true"/>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Investor / Unit-holder</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Transaction Type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KYC Status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Sanctions / PEP Status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Source of Funds Check</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Eligibility Status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Exception / Comment</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{investor_name_1}</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{subscription_redemption_switch}</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{complete_pending_expired}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{clear_hit_pending}</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{complete_pending_na}</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{eligible_not_eligible_pending}</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{investor_name_2}</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{subscription_redemption_switch}</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{complete_pending_expired}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{clear_hit_pending}</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{complete_pending_na}</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{eligible_not_eligible_pending}</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{comment}</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{investor_name_3}</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{subscription_redemption_switch}</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{complete_pending_expired}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{clear_hit_pending}</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{complete_pending_na}</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{eligible_not_eligible_pending}</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bl>
    <w:p>
      <w:pPr>
        <w:spacing w:after="40"/>
      </w:pPr>
    </w:p>
    <w:p>
      <w:pPr>
        <w:pStyle w:val="Heading1"/>
        <w:spacing w:before="140" w:after="60"/>
      </w:pPr>
      <w:r>
        <w:t>11. Investor Concentration and Liquidity Impact</w:t>
      </w:r>
    </w:p>
    <w:tbl>
      <w:tblPr>
        <w:tblW w:type="auto" w:w="0"/>
        <w:jc w:val="center"/>
        <w:tblLayout w:type="autofit"/>
        <w:tblLook w:firstColumn="1" w:firstRow="1" w:lastColumn="0" w:lastRow="0" w:noHBand="0" w:noVBand="1" w:val="04A0"/>
      </w:tblPr>
      <w:tblGrid>
        <w:gridCol w:w="2880"/>
        <w:gridCol w:w="2880"/>
        <w:gridCol w:w="2880"/>
        <w:gridCol w:w="2880"/>
        <w:gridCol w:w="2880"/>
      </w:tblGrid>
      <w:tr>
        <w:trPr>
          <w:cantSplit/>
          <w:tblHeader w:val="true"/>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Measure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Value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Limit / Threshold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Status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Largest subscription as % of fund NAV</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{largest_subscription_percentage}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{threshold}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{within_threshold_breach}</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Largest redemption as % of fund NAV</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{largest_redemption_percentage}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{threshold}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{within_threshold_breach}</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Top 5 unit-holder concentration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{top_5_concentration}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{threshold}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{within_threshold_breach}</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Net subscriptions / redemptions as % of fund NAV</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{net_flow_percentage}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{threshold}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{within_threshold_breach}</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Liquidity required for redemptions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{liquidity_required}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{available_liquidity}</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{sufficient_insufficient}</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Gate / suspension / deferral applied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{yes_no_na}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{policy_reference}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{approved_pending_na}</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{comment}</w:t>
            </w:r>
          </w:p>
        </w:tc>
      </w:tr>
    </w:tbl>
    <w:p>
      <w:pPr>
        <w:spacing w:after="40"/>
      </w:pPr>
    </w:p>
    <w:p>
      <w:pPr>
        <w:pStyle w:val="Heading1"/>
        <w:spacing w:before="140" w:after="60"/>
      </w:pPr>
      <w:r>
        <w:t>12. Exceptions and Resolution Tracker</w:t>
      </w:r>
    </w:p>
    <w:tbl>
      <w:tblPr>
        <w:tblW w:type="auto" w:w="0"/>
        <w:jc w:val="center"/>
        <w:tblLayout w:type="autofit"/>
        <w:tblLook w:firstColumn="1" w:firstRow="1" w:lastColumn="0" w:lastRow="0" w:noHBand="0" w:noVBand="1" w:val="04A0"/>
      </w:tblPr>
      <w:tblGrid>
        <w:gridCol w:w="1600"/>
        <w:gridCol w:w="1600"/>
        <w:gridCol w:w="1600"/>
        <w:gridCol w:w="1600"/>
        <w:gridCol w:w="1600"/>
        <w:gridCol w:w="1600"/>
        <w:gridCol w:w="1600"/>
        <w:gridCol w:w="1600"/>
        <w:gridCol w:w="1600"/>
      </w:tblGrid>
      <w:tr>
        <w:trPr>
          <w:cantSplit/>
          <w:tblHeader w:val="true"/>
        </w:trPr>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Exception ID</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Type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Investor / Transaction</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Description</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Amount / Units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Owner</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Due Date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Status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Evidence Reference</w:t>
            </w:r>
          </w:p>
        </w:tc>
      </w:tr>
      <w:tr>
        <w:trPr>
          <w:cantSplit/>
        </w:trPr>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{exception_id_1}</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{late_deal_cash_unmatched_kyc_price_other}</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{investor_or_transaction_1}</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{description_1}</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{amount_units_1}</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{owner_1}</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{due_date_1}</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{open_in_progress_closed}</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{evidence_ref_1}</w:t>
            </w:r>
          </w:p>
        </w:tc>
      </w:tr>
      <w:tr>
        <w:trPr>
          <w:cantSplit/>
        </w:trPr>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{exception_id_2}</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{late_deal_cash_unmatched_kyc_price_other}</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{investor_or_transaction_2}</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{description_2}</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{amount_units_2}</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{owner_2}</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{due_date_2}</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{open_in_progress_closed}</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{evidence_ref_2}</w:t>
            </w:r>
          </w:p>
        </w:tc>
      </w:tr>
      <w:tr>
        <w:trPr>
          <w:cantSplit/>
        </w:trPr>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{exception_id_3}</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{late_deal_cash_unmatched_kyc_price_other}</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{investor_or_transaction_3}</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{description_3}</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{amount_units_3}</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{owner_3}</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{due_date_3}</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{open_in_progress_closed}</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{evidence_ref_3}</w:t>
            </w:r>
          </w:p>
        </w:tc>
      </w:tr>
    </w:tbl>
    <w:p>
      <w:pPr>
        <w:spacing w:after="40"/>
      </w:pPr>
    </w:p>
    <w:p>
      <w:pPr>
        <w:pStyle w:val="Heading1"/>
        <w:spacing w:before="140" w:after="60"/>
      </w:pPr>
      <w:r>
        <w:t>13. Supporting Documents Register</w:t>
      </w:r>
    </w:p>
    <w:tbl>
      <w:tblPr>
        <w:tblW w:type="auto" w:w="0"/>
        <w:jc w:val="center"/>
        <w:tblLayout w:type="autofit"/>
        <w:tblLook w:firstColumn="1" w:firstRow="1" w:lastColumn="0" w:lastRow="0" w:noHBand="0" w:noVBand="1" w:val="04A0"/>
      </w:tblPr>
      <w:tblGrid>
        <w:gridCol w:w="2057"/>
        <w:gridCol w:w="2057"/>
        <w:gridCol w:w="2057"/>
        <w:gridCol w:w="2057"/>
        <w:gridCol w:w="2057"/>
        <w:gridCol w:w="2057"/>
        <w:gridCol w:w="2057"/>
      </w:tblGrid>
      <w:tr>
        <w:trPr>
          <w:cantSplit/>
          <w:tblHeader w:val="true"/>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Document Type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Document Name / Reference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Source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Date Received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Uploaded By</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Evidence ID / Link</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Status</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Subscription forms / applications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{subscription_forms_reference}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{investor_or_agent}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{date_received}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{uploaded_by}</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{evidence_id}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{complete_pending_na}</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Redemption instructions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{redemption_instructions_reference}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{investor_or_agent}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{date_received}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{uploaded_by}</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{evidence_id}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{complete_pending_na}</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Bank statements / payment proof</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{bank_statement_or_payment_proof_reference}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{bank_or_investor}</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{date_received}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{uploaded_by}</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{evidence_id}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{complete_pending}</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NAV calculation / price approval</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{nav_price_approval_reference}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{arcus_or_administrator}</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{date_received}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{uploaded_by}</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{evidence_id}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{complete_pending}</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Unit-holder register extract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{unit_holder_register_reference}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{arcus_or_registrar}</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{date_received}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{uploaded_by}</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{evidence_id}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{complete_pending}</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KYC / AML evidence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{kyc_aml_reference}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{compliance}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{date_received}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{uploaded_by}</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{evidence_id}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{complete_pending_na}</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Exception approval memo</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{exception_approval_reference}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{internal}</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{date_received}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{uploaded_by}</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{evidence_id}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{complete_pending_na}</w:t>
            </w:r>
          </w:p>
        </w:tc>
      </w:tr>
    </w:tbl>
    <w:p>
      <w:pPr>
        <w:spacing w:after="40"/>
      </w:pPr>
    </w:p>
    <w:p>
      <w:pPr>
        <w:pStyle w:val="Heading1"/>
        <w:spacing w:before="140" w:after="60"/>
      </w:pPr>
      <w:r>
        <w:t>14. Management Confirmation</w:t>
      </w:r>
    </w:p>
    <w:p>
      <w:pPr>
        <w:spacing w:after="100"/>
      </w:pPr>
      <w:r>
        <w:rPr>
          <w:rFonts w:ascii="Aptos" w:hAnsi="Aptos"/>
          <w:b w:val="0"/>
          <w:i w:val="0"/>
        </w:rPr>
        <w:t xml:space="preserve">Management confirms that the subscriptions, redemptions, switches, transfers and unit movements recorded in this report for </w:t>
      </w:r>
      <w:r>
        <w:rPr>
          <w:rFonts w:ascii="Aptos" w:hAnsi="Aptos"/>
          <w:b w:val="0"/>
          <w:i w:val="0"/>
          <w:highlight w:val="yellow"/>
        </w:rPr>
        <w:t>{scheme_or_fund_name}</w:t>
      </w:r>
      <w:r>
        <w:rPr>
          <w:rFonts w:ascii="Aptos" w:hAnsi="Aptos"/>
          <w:b w:val="0"/>
          <w:i w:val="0"/>
        </w:rPr>
        <w:t xml:space="preserve"> have been prepared from approved Arcus source records and reviewed against supporting documents available as at </w:t>
      </w:r>
      <w:r>
        <w:rPr>
          <w:rFonts w:ascii="Aptos" w:hAnsi="Aptos"/>
          <w:b w:val="0"/>
          <w:i w:val="0"/>
          <w:highlight w:val="yellow"/>
        </w:rPr>
        <w:t>{approval_date}</w:t>
      </w:r>
      <w:r>
        <w:rPr>
          <w:rFonts w:ascii="Aptos" w:hAnsi="Aptos"/>
          <w:b w:val="0"/>
          <w:i w:val="0"/>
        </w:rPr>
        <w:t>.</w:t>
      </w:r>
    </w:p>
    <w:p>
      <w:pPr>
        <w:spacing w:after="100"/>
      </w:pPr>
      <w:r>
        <w:rPr>
          <w:rFonts w:ascii="Aptos" w:hAnsi="Aptos"/>
          <w:b w:val="0"/>
          <w:i w:val="0"/>
        </w:rPr>
        <w:t xml:space="preserve">Management exception statement: </w:t>
      </w:r>
      <w:r>
        <w:rPr>
          <w:rFonts w:ascii="Aptos" w:hAnsi="Aptos"/>
          <w:b w:val="0"/>
          <w:i w:val="0"/>
          <w:highlight w:val="yellow"/>
        </w:rPr>
        <w:t>{insert_management_statement_on_unresolved_exceptions_or_confirm_none}</w:t>
      </w:r>
    </w:p>
    <w:p>
      <w:pPr>
        <w:pStyle w:val="Heading1"/>
        <w:spacing w:before="140" w:after="60"/>
      </w:pPr>
      <w:r>
        <w:t>15. Approval and Certification</w:t>
      </w:r>
    </w:p>
    <w:tbl>
      <w:tblPr>
        <w:tblW w:type="auto" w:w="0"/>
        <w:jc w:val="center"/>
        <w:tblLayout w:type="autofit"/>
        <w:tblLook w:firstColumn="1" w:firstRow="1" w:lastColumn="0" w:lastRow="0" w:noHBand="0" w:noVBand="1" w:val="04A0"/>
      </w:tblPr>
      <w:tblGrid>
        <w:gridCol w:w="2880"/>
        <w:gridCol w:w="2880"/>
        <w:gridCol w:w="2880"/>
        <w:gridCol w:w="2880"/>
        <w:gridCol w:w="2880"/>
      </w:tblGrid>
      <w:tr>
        <w:trPr>
          <w:cantSplit/>
          <w:tblHeader w:val="true"/>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Role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Name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Designation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Date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Signature / Digital Approval</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Prepared By - Maker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{prepared_by___maker_name}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{prepared_by___maker_designation}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{prepared_by___maker_date}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{prepared_by___maker_signature_or_digital_approval}</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Reviewed By - Fund Administration Checker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{reviewed_by___fund_administration_checker_name}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{reviewed_by___fund_administration_checker_designation}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{reviewed_by___fund_administration_checker_date}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{reviewed_by___fund_administration_checker_signature_or_digital_approval}</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Compliance Review</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{compliance_review_name}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{compliance_review_designation}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{compliance_review_date}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{compliance_review_signature_or_digital_approval}</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Trustee / Custodian Review</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{trustee___custodian_review_name}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{trustee___custodian_review_designation}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{trustee___custodian_review_date}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{trustee___custodian_review_signature_or_digital_approval}</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Authorised Officer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{authorised_officer_name}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{authorised_officer_designation}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{authorised_officer_date}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{authorised_officer_signature_or_digital_approval}</w:t>
            </w:r>
          </w:p>
        </w:tc>
      </w:tr>
    </w:tbl>
    <w:p>
      <w:pPr>
        <w:spacing w:after="40"/>
      </w:pPr>
    </w:p>
    <w:p>
      <w:pPr>
        <w:pStyle w:val="Heading1"/>
        <w:spacing w:before="140" w:after="60"/>
      </w:pPr>
      <w:r>
        <w:t>16. Audit Trail and System Controls</w:t>
      </w:r>
    </w:p>
    <w:tbl>
      <w:tblPr>
        <w:tblW w:type="auto" w:w="0"/>
        <w:jc w:val="center"/>
        <w:tblLayout w:type="autofit"/>
        <w:tblLook w:firstColumn="1" w:firstRow="1" w:lastColumn="0" w:lastRow="0" w:noHBand="0" w:noVBand="1" w:val="04A0"/>
      </w:tblPr>
      <w:tblGrid>
        <w:gridCol w:w="7200"/>
        <w:gridCol w:w="7200"/>
      </w:tblGrid>
      <w:tr>
        <w:trPr>
          <w:cantSplit/>
          <w:tblHeader w:val="true"/>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Control Field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Detail</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Report Run ID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{reporting_run_id}</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Generated Report ID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{generated_report_id}</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Source Snapshot ID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{source_snapshot_id}</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Investor Registry Batch ID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{investor_registry_batch_id}</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NAV Calculation ID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{nav_calculation_id}</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Generated By</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{generated_by_user}</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Generated Date and Time</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{generated_datetime}</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Maker Review Date and Time</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{maker_review_datetime}</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Checker Approval Date and Time</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{checker_approval_datetime}</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Register Update Status</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{updated_pending_locked}</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Archive Status</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{draft_locked_archived_reissued}</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Document Hash / Checksum</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{document_hash}</w:t>
            </w:r>
          </w:p>
        </w:tc>
      </w:tr>
    </w:tbl>
    <w:p>
      <w:pPr>
        <w:spacing w:after="40"/>
      </w:pPr>
    </w:p>
    <w:p>
      <w:pPr>
        <w:pStyle w:val="Heading1"/>
        <w:spacing w:before="140" w:after="60"/>
      </w:pPr>
      <w:r>
        <w:t>17. Standard Disclaimer</w:t>
      </w:r>
    </w:p>
    <w:p>
      <w:pPr>
        <w:spacing w:after="100"/>
      </w:pPr>
      <w:r>
        <w:rPr>
          <w:rFonts w:ascii="Aptos" w:hAnsi="Aptos"/>
          <w:b w:val="0"/>
          <w:i w:val="0"/>
        </w:rPr>
        <w:t>This Subscriptions and Redemptions Report is intended for fund administration, investor registry control, trustee review and regulatory support purposes. It does not constitute investment advice, tax advice, legal advice, an audit opinion or an official regulatory filing. It must be read together with the applicable scheme documents, pricing policy, bank records, unit-holder register, NAV approval evidence and authorised transaction instructions.</w:t>
      </w:r>
    </w:p>
    <w:sectPr w:rsidR="00FC693F" w:rsidRPr="0006063C" w:rsidSect="00034616">
      <w:headerReference w:type="default" r:id="rId9"/>
      <w:footerReference w:type="default" r:id="rId10"/>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ook w:firstColumn="1" w:firstRow="1" w:lastColumn="0" w:lastRow="0" w:noHBand="0" w:noVBand="1" w:val="04A0"/>
    </w:tblPr>
    <w:tblGrid>
      <w:gridCol w:w="7416"/>
      <w:gridCol w:w="7416"/>
    </w:tblGrid>
    <w:tr>
      <w:tc>
        <w:tcPr>
          <w:tcW w:type="dxa" w:w="7416"/>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r>
            <w:rPr>
              <w:rFonts w:ascii="Aptos" w:hAnsi="Aptos"/>
              <w:b w:val="0"/>
              <w:i w:val="0"/>
              <w:color w:val="6B7280"/>
              <w:sz w:val="14"/>
            </w:rPr>
            <w:t>Confidential Reporting Template | System-generated from approved Arcus source data</w:t>
          </w:r>
        </w:p>
      </w:tc>
      <w:tc>
        <w:tcPr>
          <w:tcW w:type="dxa" w:w="7416"/>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pPr>
            <w:jc w:val="right"/>
          </w:pPr>
          <w:r>
            <w:rPr>
              <w:rFonts w:ascii="Aptos" w:hAnsi="Aptos"/>
              <w:b w:val="0"/>
              <w:i w:val="0"/>
              <w:color w:val="6B7280"/>
              <w:sz w:val="14"/>
            </w:rPr>
            <w:t xml:space="preserve">Document checksum: </w:t>
          </w:r>
          <w:r>
            <w:rPr>
              <w:rFonts w:ascii="Aptos" w:hAnsi="Aptos"/>
              <w:b w:val="0"/>
              <w:i w:val="0"/>
              <w:highlight w:val="yellow"/>
            </w:rPr>
            <w:t>{document_hash}</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7416"/>
      <w:gridCol w:w="7416"/>
    </w:tblGrid>
    <w:tr>
      <w:tc>
        <w:tcPr>
          <w:tcW w:type="dxa" w:w="7416"/>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r>
            <w:rPr>
              <w:rFonts w:ascii="Aptos" w:hAnsi="Aptos"/>
              <w:b/>
              <w:i w:val="0"/>
              <w:color w:val="1688E8"/>
              <w:sz w:val="20"/>
            </w:rPr>
            <w:t>■ ARCUS</w:t>
          </w:r>
          <w:r>
            <w:rPr>
              <w:rFonts w:ascii="Aptos" w:hAnsi="Aptos"/>
              <w:b/>
              <w:i w:val="0"/>
              <w:color w:val="071426"/>
              <w:sz w:val="20"/>
            </w:rPr>
            <w:t xml:space="preserve"> REPORTING TEMPLATE</w:t>
          </w:r>
        </w:p>
      </w:tc>
      <w:tc>
        <w:tcPr>
          <w:tcW w:type="dxa" w:w="7416"/>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pPr>
            <w:jc w:val="right"/>
          </w:pPr>
          <w:r>
            <w:rPr>
              <w:rFonts w:ascii="Aptos" w:hAnsi="Aptos"/>
              <w:b w:val="0"/>
              <w:i w:val="0"/>
              <w:color w:val="071426"/>
              <w:sz w:val="14"/>
            </w:rPr>
            <w:t>Subscriptions and Redemptions Report | CIS / Unit Trust / Investor Registry</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827"/>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7142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71426"/>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71426"/>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