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07182B"/>
          <w:sz w:val="36"/>
        </w:rPr>
        <w:t>ARCUS</w:t>
      </w:r>
      <w:r>
        <w:rPr>
          <w:rFonts w:ascii="Aptos" w:hAnsi="Aptos" w:eastAsia="Aptos"/>
          <w:b w:val="0"/>
          <w:i w:val="0"/>
          <w:color w:val="44546A"/>
          <w:sz w:val="20"/>
        </w:rPr>
        <w:t xml:space="preserve">  |  ASSET MANAGEMENT REPORTING</w:t>
      </w:r>
    </w:p>
    <w:p>
      <w:pPr>
        <w:spacing w:before="160" w:after="80" w:line="240" w:lineRule="auto"/>
        <w:jc w:val="center"/>
      </w:pPr>
      <w:r>
        <w:rPr>
          <w:rFonts w:ascii="Aptos" w:hAnsi="Aptos" w:eastAsia="Aptos"/>
          <w:b/>
          <w:i w:val="0"/>
          <w:color w:val="07182B"/>
          <w:sz w:val="44"/>
        </w:rPr>
        <w:t>PERFORMANCE REPORT</w:t>
      </w:r>
    </w:p>
    <w:p>
      <w:pPr>
        <w:jc w:val="center"/>
      </w:pPr>
      <w:r>
        <w:rPr>
          <w:rFonts w:ascii="Aptos" w:hAnsi="Aptos" w:eastAsia="Aptos"/>
          <w:b w:val="0"/>
          <w:i w:val="0"/>
          <w:color w:val="44546A"/>
          <w:sz w:val="20"/>
        </w:rPr>
        <w:t>Client Portfolio Performance, Benchmark Comparison and P&amp;L Attribution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Replace all yellow highlighted placeholders with the approved values generated from Arcus. Delete all blue instruction boxes before issuing the final report. Do not edit unhighlighted legal, reliance, approval or audit wording unless approved by compliance/legal.</w:t>
            </w:r>
          </w:p>
        </w:tc>
      </w:tr>
    </w:tbl>
    <w:tbl>
      <w:tblPr>
        <w:tblStyle w:val="TableGrid"/>
        <w:tblW w:type="auto" w:w="0"/>
        <w:jc w:val="center"/>
        <w:tblLook w:firstColumn="1" w:firstRow="1" w:lastColumn="0" w:lastRow="0" w:noHBand="0" w:noVBand="1" w:val="04A0"/>
      </w:tblPr>
      <w:tblGrid>
        <w:gridCol w:w="5256"/>
        <w:gridCol w:w="5256"/>
      </w:tblGrid>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Asset Manager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Asset Management</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 Investor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Account / Portfolio</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ZimFund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Portfolio Reference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Reporting Period</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 to N/A</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Date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Base Currency</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Version</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Status</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bl>
    <w:p>
      <w:pPr>
        <w:jc w:val="center"/>
      </w:pPr>
      <w:r>
        <w:rPr>
          <w:rFonts w:ascii="Aptos" w:hAnsi="Aptos" w:eastAsia="Aptos"/>
          <w:b w:val="0"/>
          <w:highlight w:val="yellow"/>
        </w:rPr>
        <w:t xml:space="preserve">N/A</w:t>
      </w:r>
      <w:r>
        <w:rPr>
          <w:rFonts w:ascii="Aptos" w:hAnsi="Aptos" w:eastAsia="Aptos"/>
          <w:b w:val="0"/>
          <w:i w:val="0"/>
          <w:color w:val="44546A"/>
          <w:sz w:val="16"/>
        </w:rPr>
        <w:t xml:space="preserve"> | Generated from approved Arcus portfolio valuation and performance records</w:t>
      </w:r>
    </w:p>
    <w:p>
      <w:r>
        <w:br w:type="page"/>
      </w:r>
    </w:p>
    <w:p>
      <w:pPr>
        <w:pStyle w:val="Heading1"/>
        <w:keepLines/>
      </w:pPr>
      <w:r>
        <w:rPr>
          <w:rFonts w:ascii="Aptos" w:hAnsi="Aptos" w:eastAsia="Aptos"/>
          <w:b/>
          <w:i w:val="0"/>
          <w:color w:val="07182B"/>
          <w:sz w:val="32"/>
        </w:rPr>
        <w:t>1. Purpose and Scope</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Confirm the portfolio, benchmark, valuation date and performance methodology before release. Performance must be sourced from the Stock Price Collector / Portfolio Valuation module and not manually recalculated in this report.</w:t>
            </w:r>
          </w:p>
        </w:tc>
      </w:tr>
    </w:tbl>
    <w:p>
      <w:pPr>
        <w:spacing w:before="0" w:after="120" w:line="240" w:lineRule="auto"/>
      </w:pPr>
      <w:r>
        <w:rPr>
          <w:rFonts w:ascii="Aptos" w:hAnsi="Aptos" w:eastAsia="Aptos"/>
          <w:b w:val="0"/>
          <w:i w:val="0"/>
        </w:rPr>
        <w:t xml:space="preserve">This Performance Report has been prepared for </w:t>
      </w:r>
      <w:r>
        <w:rPr>
          <w:rFonts w:ascii="Aptos" w:hAnsi="Aptos" w:eastAsia="Aptos"/>
          <w:b w:val="0"/>
          <w:highlight w:val="yellow"/>
        </w:rPr>
        <w:t xml:space="preserve">N/A</w:t>
      </w:r>
      <w:r>
        <w:rPr>
          <w:rFonts w:ascii="Aptos" w:hAnsi="Aptos" w:eastAsia="Aptos"/>
          <w:b w:val="0"/>
          <w:i w:val="0"/>
        </w:rPr>
        <w:t xml:space="preserve"> in respect of </w:t>
      </w:r>
      <w:r>
        <w:rPr>
          <w:rFonts w:ascii="Aptos" w:hAnsi="Aptos" w:eastAsia="Aptos"/>
          <w:b w:val="0"/>
          <w:highlight w:val="yellow"/>
        </w:rPr>
        <w:t xml:space="preserve">ZimFund</w:t>
      </w:r>
      <w:r>
        <w:rPr>
          <w:rFonts w:ascii="Aptos" w:hAnsi="Aptos" w:eastAsia="Aptos"/>
          <w:b w:val="0"/>
          <w:i w:val="0"/>
        </w:rPr>
        <w:t xml:space="preserve"> for the period </w:t>
      </w:r>
      <w:r>
        <w:rPr>
          <w:rFonts w:ascii="Aptos" w:hAnsi="Aptos" w:eastAsia="Aptos"/>
          <w:b w:val="0"/>
          <w:highlight w:val="yellow"/>
        </w:rPr>
        <w:t xml:space="preserve">N/A to N/A</w:t>
      </w:r>
      <w:r>
        <w:rPr>
          <w:rFonts w:ascii="Aptos" w:hAnsi="Aptos" w:eastAsia="Aptos"/>
          <w:b w:val="0"/>
          <w:i w:val="0"/>
        </w:rPr>
        <w:t>. It summarises portfolio performance, benchmark comparison, realised and unrealised profit or loss, contribution to return, income, fees, cash-flow adjusted performance and relevant mandate or performance exceptions.</w:t>
      </w:r>
    </w:p>
    <w:p>
      <w:pPr>
        <w:spacing w:before="0" w:after="120" w:line="240" w:lineRule="auto"/>
      </w:pPr>
      <w:r>
        <w:rPr>
          <w:rFonts w:ascii="Aptos" w:hAnsi="Aptos" w:eastAsia="Aptos"/>
          <w:b w:val="0"/>
          <w:i w:val="0"/>
        </w:rPr>
        <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
      </w:r>
    </w:p>
    <w:p>
      <w:pPr>
        <w:pStyle w:val="Heading1"/>
        <w:keepLines/>
      </w:pPr>
      <w:r>
        <w:rPr>
          <w:rFonts w:ascii="Aptos" w:hAnsi="Aptos" w:eastAsia="Aptos"/>
          <w:b/>
          <w:i w:val="0"/>
          <w:color w:val="07182B"/>
          <w:sz w:val="32"/>
        </w:rPr>
        <w:t>2. Confidentiality, Reliance and Calculation Basis</w:t>
      </w:r>
    </w:p>
    <w:p>
      <w:pPr>
        <w:spacing w:before="0" w:after="120" w:line="240" w:lineRule="auto"/>
      </w:pPr>
      <w:r>
        <w:rPr>
          <w:rFonts w:ascii="Aptos" w:hAnsi="Aptos" w:eastAsia="Aptos"/>
          <w:b w:val="0"/>
          <w:i w:val="0"/>
        </w:rPr>
        <w:t xml:space="preserve">This report is confidential and is issued solely to </w:t>
      </w:r>
      <w:r>
        <w:rPr>
          <w:rFonts w:ascii="Aptos" w:hAnsi="Aptos" w:eastAsia="Aptos"/>
          <w:b w:val="0"/>
          <w:highlight w:val="yellow"/>
        </w:rPr>
        <w:t xml:space="preserve">N/A</w:t>
      </w:r>
      <w:r>
        <w:rPr>
          <w:rFonts w:ascii="Aptos" w:hAnsi="Aptos" w:eastAsia="Aptos"/>
          <w:b w:val="0"/>
          <w:i w:val="0"/>
        </w:rPr>
        <w:t xml:space="preserve"> and authorised representatives of </w:t>
      </w:r>
      <w:r>
        <w:rPr>
          <w:rFonts w:ascii="Aptos" w:hAnsi="Aptos" w:eastAsia="Aptos"/>
          <w:b w:val="0"/>
          <w:highlight w:val="yellow"/>
        </w:rPr>
        <w:t xml:space="preserve">Arcus Asset Management</w:t>
      </w:r>
      <w:r>
        <w:rPr>
          <w:rFonts w:ascii="Aptos" w:hAnsi="Aptos" w:eastAsia="Aptos"/>
          <w:b w:val="0"/>
          <w:i w:val="0"/>
        </w:rPr>
        <w:t>. It may not be copied, distributed, disclosed or relied upon by any third party without prior written approval, except where disclosure is required by law, regulation, auditors, trustees, custodians, tax advisers or another competent authority.</w:t>
      </w:r>
    </w:p>
    <w:p>
      <w:pPr>
        <w:spacing w:before="0" w:after="120" w:line="240" w:lineRule="auto"/>
      </w:pPr>
      <w:r>
        <w:rPr>
          <w:rFonts w:ascii="Aptos" w:hAnsi="Aptos" w:eastAsia="Aptos"/>
          <w:b w:val="0"/>
          <w:i w:val="0"/>
        </w:rPr>
        <w:t xml:space="preserve">Performance has been calculated using approved holdings, prices, cash balances, income, fees, trades, FX rates and valuation records as at </w:t>
      </w:r>
      <w:r>
        <w:rPr>
          <w:rFonts w:ascii="Aptos" w:hAnsi="Aptos" w:eastAsia="Aptos"/>
          <w:b w:val="0"/>
          <w:highlight w:val="yellow"/>
        </w:rPr>
        <w:t xml:space="preserve">N/A</w:t>
      </w:r>
      <w:r>
        <w:rPr>
          <w:rFonts w:ascii="Aptos" w:hAnsi="Aptos" w:eastAsia="Aptos"/>
          <w:b w:val="0"/>
          <w:i w:val="0"/>
        </w:rPr>
        <w:t>. Amounts may be rounded for presentation. Where any discrepancy arises, the approved Arcus source records, client mandate and accounting records shall prevail.</w:t>
      </w:r>
    </w:p>
    <w:p>
      <w:pPr>
        <w:spacing w:before="0" w:after="120" w:line="240" w:lineRule="auto"/>
      </w:pPr>
      <w:r>
        <w:rPr>
          <w:rFonts w:ascii="Aptos" w:hAnsi="Aptos" w:eastAsia="Aptos"/>
          <w:b w:val="0"/>
          <w:i w:val="0"/>
        </w:rPr>
        <w:t>Unless expressly stated otherwise, this report is not an audited financial statement, tax opinion, investment recommendation, offer, solicitation or guarantee of future performance.</w:t>
      </w:r>
    </w:p>
    <w:p>
      <w:pPr>
        <w:pStyle w:val="Heading1"/>
        <w:keepLines/>
      </w:pPr>
      <w:r>
        <w:rPr>
          <w:rFonts w:ascii="Aptos" w:hAnsi="Aptos" w:eastAsia="Aptos"/>
          <w:b/>
          <w:i w:val="0"/>
          <w:color w:val="07182B"/>
          <w:sz w:val="32"/>
        </w:rPr>
        <w:t>3. Performance Dashboard</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this dashboard from approved portfolio performance records. Returns should be marked clearly as gross or net of fees. Confirm whether the benchmark is price return, total return or custom mandate benchmark.</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23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Measure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Benchmark</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Excess / Shortfall</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Gross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Net</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 Market Value</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 Market Value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6,252.74</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 Contributions / Withdrawals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 P&amp;L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 P&amp;L</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bl>
    <w:p>
      <w:pPr>
        <w:pStyle w:val="Heading1"/>
        <w:keepLines/>
      </w:pPr>
      <w:r>
        <w:rPr>
          <w:rFonts w:ascii="Aptos" w:hAnsi="Aptos" w:eastAsia="Aptos"/>
          <w:b/>
          <w:i w:val="0"/>
          <w:color w:val="07182B"/>
          <w:sz w:val="32"/>
        </w:rPr>
        <w:t>4. Return Calculation Methodology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Field</w:t>
            </w:r>
          </w:p>
        </w:tc>
        <w:tc>
          <w:tcPr>
            <w:tcW w:type="dxa" w:w="63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Approved 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Return Method</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N/A</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Gross / Net Basis</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N/A</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Income Treatment</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N/A</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FX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N/A</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Benchmark Basis</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N/A</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Material Cash Flow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N/A</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Pricing Source</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N/A</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Performance Approval Date</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N/A</w:t>
            </w:r>
          </w:p>
        </w:tc>
      </w:tr>
    </w:tbl>
    <w:p>
      <w:pPr>
        <w:pStyle w:val="Heading1"/>
        <w:keepLines/>
      </w:pPr>
      <w:r>
        <w:rPr>
          <w:rFonts w:ascii="Aptos" w:hAnsi="Aptos" w:eastAsia="Aptos"/>
          <w:b/>
          <w:i w:val="0"/>
          <w:color w:val="07182B"/>
          <w:sz w:val="32"/>
        </w:rPr>
        <w:t>5. Periodic Performance Summary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Use this section for monthly or quarterly performance comparison. Add or remove rows based on the reporting period, but retain the benchmark and excess return columns.</w:t>
            </w:r>
          </w:p>
        </w:tc>
      </w:tr>
    </w:tbl>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Period</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Opening Value</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Net Cash Flow</w:t>
            </w:r>
          </w:p>
        </w:tc>
        <w:tc>
          <w:tcPr>
            <w:tcW w:type="dxa" w:w="86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Income</w:t>
            </w:r>
          </w:p>
        </w:tc>
        <w:tc>
          <w:tcPr>
            <w:tcW w:type="dxa" w:w="979"/>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Closing Value</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Return</w:t>
            </w:r>
          </w:p>
        </w:tc>
        <w:tc>
          <w:tcPr>
            <w:tcW w:type="dxa" w:w="90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w:t>
            </w:r>
          </w:p>
        </w:tc>
        <w:tc>
          <w:tcPr>
            <w:tcW w:type="dxa" w:w="82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Excess</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 / Quarter</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bl>
    <w:p>
      <w:pPr>
        <w:pStyle w:val="Heading1"/>
        <w:keepLines/>
      </w:pPr>
      <w:r>
        <w:rPr>
          <w:rFonts w:ascii="Aptos" w:hAnsi="Aptos" w:eastAsia="Aptos"/>
          <w:b/>
          <w:i w:val="0"/>
          <w:color w:val="07182B"/>
          <w:sz w:val="32"/>
        </w:rPr>
        <w:t>6. Benchmark Comparison and Attribution</w:t>
      </w:r>
    </w:p>
    <w:p>
      <w:pPr>
        <w:spacing w:before="0" w:after="120" w:line="240" w:lineRule="auto"/>
      </w:pPr>
      <w:r>
        <w:rPr>
          <w:rFonts w:ascii="Aptos" w:hAnsi="Aptos" w:eastAsia="Aptos"/>
          <w:b w:val="0"/>
          <w:i w:val="0"/>
        </w:rPr>
        <w:t xml:space="preserve">For the reporting period, the portfolio returned </w:t>
      </w:r>
      <w:r>
        <w:rPr>
          <w:rFonts w:ascii="Aptos" w:hAnsi="Aptos" w:eastAsia="Aptos"/>
          <w:b w:val="0"/>
          <w:highlight w:val="yellow"/>
        </w:rPr>
        <w:t xml:space="preserve">N/A</w:t>
      </w:r>
      <w:r>
        <w:rPr>
          <w:rFonts w:ascii="Aptos" w:hAnsi="Aptos" w:eastAsia="Aptos"/>
          <w:b w:val="0"/>
          <w:i w:val="0"/>
        </w:rPr>
        <w:t xml:space="preserve"> compared with the benchmark return of </w:t>
      </w:r>
      <w:r>
        <w:rPr>
          <w:rFonts w:ascii="Aptos" w:hAnsi="Aptos" w:eastAsia="Aptos"/>
          <w:b w:val="0"/>
          <w:highlight w:val="yellow"/>
        </w:rPr>
        <w:t xml:space="preserve">N/A</w:t>
      </w:r>
      <w:r>
        <w:rPr>
          <w:rFonts w:ascii="Aptos" w:hAnsi="Aptos" w:eastAsia="Aptos"/>
          <w:b w:val="0"/>
          <w:i w:val="0"/>
        </w:rPr>
        <w:t xml:space="preserve">, resulting in an excess / shortfall of </w:t>
      </w:r>
      <w:r>
        <w:rPr>
          <w:rFonts w:ascii="Aptos" w:hAnsi="Aptos" w:eastAsia="Aptos"/>
          <w:b w:val="0"/>
          <w:highlight w:val="yellow"/>
        </w:rPr>
        <w:t xml:space="preserve">N/A</w:t>
      </w:r>
      <w:r>
        <w:rPr>
          <w:rFonts w:ascii="Aptos" w:hAnsi="Aptos" w:eastAsia="Aptos"/>
          <w:b w:val="0"/>
          <w:i w:val="0"/>
        </w:rPr>
        <w:t>. Key drivers of relative performance are summarised below.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Driver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Allocation Effect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Selection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Currency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Total Effect</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bl>
    <w:p>
      <w:r>
        <w:br w:type="page"/>
      </w:r>
    </w:p>
    <w:p>
      <w:pPr>
        <w:pStyle w:val="Heading1"/>
        <w:keepLines/>
      </w:pPr>
      <w:r>
        <w:rPr>
          <w:rFonts w:ascii="Aptos" w:hAnsi="Aptos" w:eastAsia="Aptos"/>
          <w:b/>
          <w:i w:val="0"/>
          <w:color w:val="07182B"/>
          <w:sz w:val="32"/>
        </w:rPr>
        <w:t>7. Contribution to Return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top and bottom contributors from approved holdings and performance attribution records. Avoid naming securities where the client mandate or confidentiality restrictions prohibit disclosure.</w:t>
            </w:r>
          </w:p>
        </w:tc>
      </w:tr>
    </w:tbl>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Security / Holding</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Asset Class</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Average Weight</w:t>
            </w:r>
          </w:p>
        </w:tc>
        <w:tc>
          <w:tcPr>
            <w:tcW w:type="dxa" w:w="7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Return</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Contribution</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bl>
    <w:p>
      <w:pPr>
        <w:pStyle w:val="Heading1"/>
        <w:keepLines/>
      </w:pPr>
      <w:r>
        <w:rPr>
          <w:rFonts w:ascii="Aptos" w:hAnsi="Aptos" w:eastAsia="Aptos"/>
          <w:b/>
          <w:i w:val="0"/>
          <w:color w:val="07182B"/>
          <w:sz w:val="32"/>
        </w:rPr>
        <w:t>8. Realised and Unrealised P&amp;L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1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P&amp;L Component</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31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FX Gains / Losses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Total P&amp;L</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bl>
    <w:p>
      <w:pPr>
        <w:pStyle w:val="Heading1"/>
        <w:keepLines/>
      </w:pPr>
      <w:r>
        <w:rPr>
          <w:rFonts w:ascii="Aptos" w:hAnsi="Aptos" w:eastAsia="Aptos"/>
          <w:b/>
          <w:i w:val="0"/>
          <w:color w:val="07182B"/>
          <w:sz w:val="32"/>
        </w:rPr>
        <w:t>9. Income, Fees and Cash Flow Impact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Component</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Amount</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Return Impact</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Treatment in Performance</w:t>
            </w:r>
          </w:p>
        </w:tc>
        <w:tc>
          <w:tcPr>
            <w:tcW w:type="dxa" w:w="25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Dividends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Coupon / Interest Income</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Management Fees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Custody / Transaction Costs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Contributions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Withdrawals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bl>
    <w:p>
      <w:r>
        <w:br w:type="page"/>
      </w:r>
    </w:p>
    <w:p>
      <w:pPr>
        <w:pStyle w:val="Heading1"/>
        <w:keepLines/>
      </w:pPr>
      <w:r>
        <w:rPr>
          <w:rFonts w:ascii="Aptos" w:hAnsi="Aptos" w:eastAsia="Aptos"/>
          <w:b/>
          <w:i w:val="0"/>
          <w:color w:val="07182B"/>
          <w:sz w:val="32"/>
        </w:rPr>
        <w:t>10. Risk and Return Metrics</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Include only metrics approved for the relevant mandate. Where insufficient history exists, mark as not available and explain the limitation.</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Metric</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Portfolio</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Benchmark</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Limit / Target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27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Tracking 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Sharpe Ratio</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Information 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Maximum 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 Profile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bl>
    <w:p>
      <w:pPr>
        <w:pStyle w:val="Heading1"/>
        <w:keepLines/>
      </w:pPr>
      <w:r>
        <w:rPr>
          <w:rFonts w:ascii="Aptos" w:hAnsi="Aptos" w:eastAsia="Aptos"/>
          <w:b/>
          <w:i w:val="0"/>
          <w:color w:val="07182B"/>
          <w:sz w:val="32"/>
        </w:rPr>
        <w:t>11. Portfolio Manager Commentary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Keep commentary professional, factual and consistent with the approved investment thesis, mandate, valuation records and transaction records. Do not include forward-looking promises or guaranteed-return wording.</w:t>
            </w:r>
          </w:p>
        </w:tc>
      </w:tr>
    </w:tbl>
    <w:p>
      <w:pPr>
        <w:spacing w:before="0" w:after="120" w:line="240" w:lineRule="auto"/>
      </w:pPr>
      <w:r>
        <w:rPr>
          <w:rFonts w:ascii="Aptos" w:hAnsi="Aptos" w:eastAsia="Aptos"/>
          <w:b/>
          <w:i w:val="0"/>
          <w:color w:val="07182B"/>
          <w:sz w:val="18"/>
        </w:rPr>
        <w:t xml:space="preserve">Market Context: </w:t>
      </w:r>
      <w:r>
        <w:rPr>
          <w:rFonts w:ascii="Aptos" w:hAnsi="Aptos" w:eastAsia="Aptos"/>
          <w:b w:val="0"/>
          <w:highlight w:val="yellow"/>
        </w:rPr>
        <w:t xml:space="preserve">N/A</w:t>
      </w:r>
    </w:p>
    <w:p>
      <w:pPr>
        <w:spacing w:before="0" w:after="120" w:line="240" w:lineRule="auto"/>
      </w:pPr>
      <w:r>
        <w:rPr>
          <w:rFonts w:ascii="Aptos" w:hAnsi="Aptos" w:eastAsia="Aptos"/>
          <w:b/>
          <w:i w:val="0"/>
          <w:color w:val="07182B"/>
          <w:sz w:val="18"/>
        </w:rPr>
        <w:t xml:space="preserve">Portfolio Performance Drivers: </w:t>
      </w:r>
      <w:r>
        <w:rPr>
          <w:rFonts w:ascii="Aptos" w:hAnsi="Aptos" w:eastAsia="Aptos"/>
          <w:b w:val="0"/>
          <w:highlight w:val="yellow"/>
        </w:rPr>
        <w:t xml:space="preserve">N/A</w:t>
      </w:r>
    </w:p>
    <w:p>
      <w:pPr>
        <w:spacing w:before="0" w:after="120" w:line="240" w:lineRule="auto"/>
      </w:pPr>
      <w:r>
        <w:rPr>
          <w:rFonts w:ascii="Aptos" w:hAnsi="Aptos" w:eastAsia="Aptos"/>
          <w:b/>
          <w:i w:val="0"/>
          <w:color w:val="07182B"/>
          <w:sz w:val="18"/>
        </w:rPr>
        <w:t xml:space="preserve">Benchmark and Relative Performance: </w:t>
      </w:r>
      <w:r>
        <w:rPr>
          <w:rFonts w:ascii="Aptos" w:hAnsi="Aptos" w:eastAsia="Aptos"/>
          <w:b w:val="0"/>
          <w:highlight w:val="yellow"/>
        </w:rPr>
        <w:t xml:space="preserve">N/A</w:t>
      </w:r>
    </w:p>
    <w:p>
      <w:pPr>
        <w:spacing w:before="0" w:after="120" w:line="240" w:lineRule="auto"/>
      </w:pPr>
      <w:r>
        <w:rPr>
          <w:rFonts w:ascii="Aptos" w:hAnsi="Aptos" w:eastAsia="Aptos"/>
          <w:b/>
          <w:i w:val="0"/>
          <w:color w:val="07182B"/>
          <w:sz w:val="18"/>
        </w:rPr>
        <w:t xml:space="preserve">Portfolio Positioning: </w:t>
      </w:r>
      <w:r>
        <w:rPr>
          <w:rFonts w:ascii="Aptos" w:hAnsi="Aptos" w:eastAsia="Aptos"/>
          <w:b w:val="0"/>
          <w:highlight w:val="yellow"/>
        </w:rPr>
        <w:t xml:space="preserve">N/A</w:t>
      </w:r>
    </w:p>
    <w:p>
      <w:pPr>
        <w:spacing w:before="0" w:after="120" w:line="240" w:lineRule="auto"/>
      </w:pPr>
      <w:r>
        <w:rPr>
          <w:rFonts w:ascii="Aptos" w:hAnsi="Aptos" w:eastAsia="Aptos"/>
          <w:b/>
          <w:i w:val="0"/>
          <w:color w:val="07182B"/>
          <w:sz w:val="18"/>
        </w:rPr>
        <w:t xml:space="preserve">Outlook and Actions: </w:t>
      </w:r>
      <w:r>
        <w:rPr>
          <w:rFonts w:ascii="Aptos" w:hAnsi="Aptos" w:eastAsia="Aptos"/>
          <w:b w:val="0"/>
          <w:highlight w:val="yellow"/>
        </w:rPr>
        <w:t xml:space="preserve">N/A</w:t>
      </w:r>
    </w:p>
    <w:p>
      <w:pPr>
        <w:pStyle w:val="Heading1"/>
        <w:keepLines/>
      </w:pPr>
      <w:r>
        <w:rPr>
          <w:rFonts w:ascii="Aptos" w:hAnsi="Aptos" w:eastAsia="Aptos"/>
          <w:b/>
          <w:i w:val="0"/>
          <w:color w:val="07182B"/>
          <w:sz w:val="32"/>
        </w:rPr>
        <w:t>12. Mandate Compliance and Performance Exceptions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37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Exception / Check</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Result</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Materiality</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Action Required</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Responsible Officer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Target Date</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outside mandate tolerance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mismatch or stale benchmark data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Missing / stale price impact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Unreconciled transaction or cash item</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bl>
    <w:p>
      <w:pPr>
        <w:pStyle w:val="Heading1"/>
        <w:keepLines/>
      </w:pPr>
      <w:r>
        <w:rPr>
          <w:rFonts w:ascii="Aptos" w:hAnsi="Aptos" w:eastAsia="Aptos"/>
          <w:b/>
          <w:i w:val="0"/>
          <w:color w:val="07182B"/>
          <w:sz w:val="32"/>
        </w:rPr>
        <w:t>13. Supporting Documents Register</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44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Document / Evidence</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Source</w:t>
            </w:r>
          </w:p>
        </w:tc>
        <w:tc>
          <w:tcPr>
            <w:tcW w:type="dxa" w:w="158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Reference</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Reviewed By</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portfolio valuation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Portfolio Valuation</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Holdings report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Stock Price Collector / Valuation</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Transaction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Trade / Transaction Ledger</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data extract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Benchmark Source</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and FX approval evidence</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 FX Records</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bl>
    <w:p>
      <w:r>
        <w:br w:type="page"/>
      </w:r>
    </w:p>
    <w:p>
      <w:pPr>
        <w:pStyle w:val="Heading1"/>
        <w:keepLines/>
      </w:pPr>
      <w:r>
        <w:rPr>
          <w:rFonts w:ascii="Aptos" w:hAnsi="Aptos" w:eastAsia="Aptos"/>
          <w:b/>
          <w:i w:val="0"/>
          <w:color w:val="07182B"/>
          <w:sz w:val="32"/>
        </w:rPr>
        <w:t>14. Approval and Certification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Maker and checker must be different authorised users. Do not release the report until portfolio values, returns, benchmark data, cash flows, FX rates and exceptions have been reviewed and approved.</w:t>
            </w:r>
          </w:p>
        </w:tc>
      </w:tr>
    </w:tbl>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Role</w:t>
            </w:r>
          </w:p>
        </w:tc>
        <w:tc>
          <w:tcPr>
            <w:tcW w:type="dxa" w:w="180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Name</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Designation</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Date</w:t>
            </w:r>
          </w:p>
        </w:tc>
        <w:tc>
          <w:tcPr>
            <w:tcW w:type="dxa" w:w="25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Signature / Digital 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Prepared By - Maker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Reviewed By - Portfolio Manager</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By - Checker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Released By</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bl>
    <w:p>
      <w:pPr>
        <w:pStyle w:val="Heading1"/>
        <w:keepLines/>
      </w:pPr>
      <w:r>
        <w:rPr>
          <w:rFonts w:ascii="Aptos" w:hAnsi="Aptos" w:eastAsia="Aptos"/>
          <w:b/>
          <w:i w:val="0"/>
          <w:color w:val="07182B"/>
          <w:sz w:val="32"/>
        </w:rPr>
        <w:t>15. Arcus Audit, Version and Publication Controls</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Run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Report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Source Module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Performance Calculation Batch</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 Data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Approval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Published to Client Portal</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Portal Publication Date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Hash / Checksum</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Archive Status</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Reissue Reference, if any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bl>
    <w:p>
      <w:pPr>
        <w:pStyle w:val="Heading1"/>
        <w:keepLines/>
      </w:pPr>
      <w:r>
        <w:rPr>
          <w:rFonts w:ascii="Aptos" w:hAnsi="Aptos" w:eastAsia="Aptos"/>
          <w:b/>
          <w:i w:val="0"/>
          <w:color w:val="07182B"/>
          <w:sz w:val="32"/>
        </w:rPr>
        <w:t>16. Final Release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Control</w:t>
            </w:r>
          </w:p>
        </w:tc>
        <w:tc>
          <w:tcPr>
            <w:tcW w:type="dxa" w:w="43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Required Confirmation</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source data</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holdings, trades, prices, FX rates and cash balances are approved.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validation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source, methodology and period have been validated.</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methodology</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Return basis and fee treatment are correctly disclosed.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P&amp;L reconciliation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Realised and unrealised P&amp;L reconcile to approved records.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Exceptions</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material exceptions are resolved or authorised.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Maker-checker</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 and checker are different authorised users.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bl>
    <w:p>
      <w:pPr>
        <w:spacing w:before="160" w:after="0" w:line="240" w:lineRule="auto"/>
        <w:jc w:val="center"/>
      </w:pPr>
      <w:r>
        <w:rPr>
          <w:rFonts w:ascii="Aptos" w:hAnsi="Aptos" w:eastAsia="Aptos"/>
          <w:b/>
          <w:i w:val="0"/>
          <w:color w:val="07182B"/>
          <w:sz w:val="18"/>
        </w:rPr>
        <w:t>End of Performance Report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Arcus Asset Management | ZimFund |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