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i w:val="0"/>
          <w:color w:val="1E90FF"/>
          <w:sz w:val="40"/>
        </w:rPr>
        <w:t xml:space="preserve">■ </w:t>
      </w:r>
      <w:r>
        <w:rPr>
          <w:rFonts w:ascii="Arial" w:hAnsi="Arial"/>
          <w:b/>
          <w:i w:val="0"/>
          <w:color w:val="061826"/>
          <w:sz w:val="40"/>
        </w:rPr>
        <w:t>ARCUS</w:t>
      </w:r>
      <w:r>
        <w:rPr>
          <w:rFonts w:ascii="Arial" w:hAnsi="Arial"/>
          <w:b/>
          <w:i w:val="0"/>
          <w:color w:val="5B6770"/>
          <w:sz w:val="20"/>
        </w:rPr>
        <w:t xml:space="preserve"> / ASSET MANAGEMENT REPORTING</w:t>
      </w:r>
    </w:p>
    <w:tbl>
      <w:tblPr>
        <w:tblW w:type="auto" w:w="0"/>
        <w:tblLook w:firstColumn="1" w:firstRow="1" w:lastColumn="0" w:lastRow="0" w:noHBand="0" w:noVBand="1" w:val="04A0"/>
      </w:tblPr>
      <w:tblGrid>
        <w:gridCol w:w="10656"/>
      </w:tblGrid>
      <w:tr>
        <w:tc>
          <w:tcPr>
            <w:tcW w:type="dxa" w:w="10656"/>
            <w:shd w:fill="1E90FF"/>
            <w:tcBorders>
              <w:top w:val="single" w:sz="6" w:space="0" w:color="1E90FF"/>
              <w:left w:val="single" w:sz="6" w:space="0" w:color="1E90FF"/>
              <w:bottom w:val="single" w:sz="6" w:space="0" w:color="1E90FF"/>
              <w:right w:val="single" w:sz="6" w:space="0" w:color="1E90FF"/>
              <w:insideH w:val="single" w:sz="6" w:space="0" w:color="1E90FF"/>
              <w:insideV w:val="single" w:sz="6" w:space="0" w:color="1E90FF"/>
            </w:tcBorders>
          </w:tcPr>
          <w:p/>
        </w:tc>
      </w:tr>
    </w:tbl>
    <w:p>
      <w:pPr>
        <w:spacing w:after="480"/>
      </w:pPr>
    </w:p>
    <w:p>
      <w:pPr>
        <w:jc w:val="center"/>
      </w:pPr>
      <w:r>
        <w:rPr>
          <w:rFonts w:ascii="Arial" w:hAnsi="Arial"/>
          <w:b/>
          <w:i w:val="0"/>
          <w:color w:val="061826"/>
          <w:sz w:val="48"/>
        </w:rPr>
        <w:t>ASSET ALLOCATION REPORT</w:t>
      </w:r>
    </w:p>
    <w:p>
      <w:pPr>
        <w:jc w:val="center"/>
      </w:pPr>
      <w:r>
        <w:rPr>
          <w:rFonts w:ascii="Arial" w:hAnsi="Arial"/>
          <w:b/>
          <w:color w:val="111827"/>
          <w:sz w:val="24"/>
          <w:highlight w:val="yellow"/>
        </w:rPr>
        <w:t xml:space="preserve">Admin User / Arcus Listed Portfolio</w:t>
      </w:r>
    </w:p>
    <w:p>
      <w:pPr>
        <w:jc w:val="center"/>
      </w:pPr>
      <w:r>
        <w:rPr>
          <w:rFonts w:ascii="Arial" w:hAnsi="Arial"/>
          <w:b w:val="0"/>
          <w:i w:val="0"/>
          <w:color w:val="5B6770"/>
          <w:sz w:val="20"/>
        </w:rPr>
        <w:t xml:space="preserve">For the period ended </w:t>
      </w:r>
      <w:r>
        <w:rPr>
          <w:rFonts w:ascii="Arial" w:hAnsi="Arial"/>
          <w:b/>
          <w:color w:val="111827"/>
          <w:sz w:val="20"/>
          <w:highlight w:val="yellow"/>
        </w:rPr>
        <w:t xml:space="preserve">2026-07-10</w:t>
      </w:r>
    </w:p>
    <w:tbl>
      <w:tblPr>
        <w:tblW w:type="auto" w:w="0"/>
        <w:jc w:val="center"/>
        <w:tblLayout w:type="autofit"/>
        <w:tblLook w:firstColumn="1" w:firstRow="1" w:lastColumn="0" w:lastRow="0" w:noHBand="0" w:noVBand="1" w:val="04A0"/>
      </w:tblPr>
      <w:tblGrid>
        <w:gridCol w:w="10656"/>
      </w:tblGrid>
      <w:tr>
        <w:tc>
          <w:tcPr>
            <w:tcW w:type="dxa" w:w="10656"/>
            <w:shd w:fill="EAF4FF"/>
            <w:tcBorders>
              <w:top w:val="single" w:sz="6" w:space="0" w:color="B7D7F5"/>
              <w:left w:val="single" w:sz="6" w:space="0" w:color="B7D7F5"/>
              <w:bottom w:val="single" w:sz="6" w:space="0" w:color="B7D7F5"/>
              <w:right w:val="single" w:sz="6" w:space="0" w:color="B7D7F5"/>
              <w:insideH w:val="single" w:sz="6" w:space="0" w:color="B7D7F5"/>
              <w:insideV w:val="single" w:sz="6" w:space="0" w:color="B7D7F5"/>
            </w:tcBorders>
            <w:tcMar>
              <w:top w:w="90" w:type="dxa"/>
              <w:start w:w="120" w:type="dxa"/>
              <w:bottom w:w="90" w:type="dxa"/>
              <w:end w:w="120" w:type="dxa"/>
            </w:tcMar>
          </w:tcPr>
          <w:p>
            <w:r>
              <w:rPr>
                <w:rFonts w:ascii="Arial" w:hAnsi="Arial"/>
                <w:b/>
                <w:i w:val="0"/>
                <w:color w:val="0B63B6"/>
                <w:sz w:val="16"/>
              </w:rPr>
              <w:t xml:space="preserve">INSTRUCTION: </w:t>
            </w:r>
            <w:r>
              <w:rPr>
                <w:rFonts w:ascii="Arial" w:hAnsi="Arial"/>
                <w:b w:val="0"/>
                <w:i w:val="0"/>
                <w:color w:val="0B3A63"/>
                <w:sz w:val="16"/>
              </w:rPr>
              <w:t>Replace only the yellow highlighted placeholders. Delete blue instruction boxes before final issue. Plain black text is standard report wording and should remain unchanged unless approved by Compliance or Legal.</w:t>
            </w:r>
          </w:p>
        </w:tc>
      </w:tr>
    </w:tbl>
    <w:p>
      <w:pPr>
        <w:spacing w:after="40"/>
      </w:pPr>
    </w:p>
    <w:tbl>
      <w:tblPr>
        <w:tblW w:type="auto" w:w="0"/>
        <w:jc w:val="center"/>
        <w:tblLayout w:type="autofit"/>
        <w:tblLook w:firstColumn="1" w:firstRow="1" w:lastColumn="0" w:lastRow="0" w:noHBand="0" w:noVBand="1" w:val="04A0"/>
      </w:tblPr>
      <w:tblGrid>
        <w:gridCol w:w="5328"/>
        <w:gridCol w:w="5328"/>
      </w:tblGrid>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Asset Manager</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 xml:space="preserve">Admin User</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Client / Mandate</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 xml:space="preserve">Admin User / 2026-07-10</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Portfolio Account Number</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 xml:space="preserve">0</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Reporting Period</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 xml:space="preserve">2026-01-01 to 2026-03-31</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Base Currency</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 xml:space="preserve">USD</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Report Version</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 xml:space="preserve">1.0</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Document Status</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Prepared By</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 xml:space="preserve">Admin User, Investment Operations</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Approved By</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 xml:space="preserve">Admin User, Investment Operations</w:t>
            </w:r>
          </w:p>
        </w:tc>
      </w:tr>
    </w:tbl>
    <w:p>
      <w:r>
        <w:br w:type="page"/>
      </w:r>
    </w:p>
    <w:p>
      <w:pPr>
        <w:spacing w:before="200" w:after="100"/>
        <w:pBdr>
          <w:bottom w:val="single" w:sz="6" w:space="4" w:color="D9E2EA"/>
        </w:pBdr>
      </w:pPr>
      <w:r>
        <w:rPr>
          <w:rFonts w:ascii="Arial" w:hAnsi="Arial"/>
          <w:b/>
          <w:i w:val="0"/>
          <w:color w:val="061826"/>
          <w:sz w:val="26"/>
        </w:rPr>
        <w:t>A. Template Use Legend</w:t>
      </w:r>
    </w:p>
    <w:tbl>
      <w:tblPr>
        <w:tblW w:type="auto" w:w="0"/>
        <w:jc w:val="center"/>
        <w:tblLayout w:type="autofit"/>
        <w:tblLook w:firstColumn="1" w:firstRow="1" w:lastColumn="0" w:lastRow="0" w:noHBand="0" w:noVBand="1" w:val="04A0"/>
      </w:tblPr>
      <w:tblGrid>
        <w:gridCol w:w="3552"/>
        <w:gridCol w:w="3552"/>
        <w:gridCol w:w="3552"/>
      </w:tblGrid>
      <w:tr>
        <w:trPr>
          <w:tblHeader w:val="true"/>
          <w:cantSplit/>
        </w:trPr>
        <w:tc>
          <w:tcPr>
            <w:tcW w:type="dxa" w:w="355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6"/>
              </w:rPr>
              <w:t>Visual Marker</w:t>
            </w:r>
          </w:p>
        </w:tc>
        <w:tc>
          <w:tcPr>
            <w:tcW w:type="dxa" w:w="355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6"/>
              </w:rPr>
              <w:t>Meaning</w:t>
            </w:r>
          </w:p>
        </w:tc>
        <w:tc>
          <w:tcPr>
            <w:tcW w:type="dxa" w:w="355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6"/>
              </w:rPr>
              <w:t>Required Action</w:t>
            </w:r>
          </w:p>
        </w:tc>
      </w:tr>
      <w:tr>
        <w:trPr>
          <w:cantSplit/>
        </w:trPr>
        <w:tc>
          <w:tcPr>
            <w:tcW w:type="dxa" w:w="355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6"/>
                <w:highlight w:val="yellow"/>
              </w:rPr>
              <w:t xml:space="preserve">—</w:t>
            </w:r>
          </w:p>
        </w:tc>
        <w:tc>
          <w:tcPr>
            <w:tcW w:type="dxa" w:w="355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6"/>
              </w:rPr>
              <w:t>Editable placeholder</w:t>
            </w:r>
          </w:p>
        </w:tc>
        <w:tc>
          <w:tcPr>
            <w:tcW w:type="dxa" w:w="355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6"/>
              </w:rPr>
              <w:t>Replace with actual client, portfolio, date, value or system-generated field.</w:t>
            </w:r>
          </w:p>
        </w:tc>
      </w:tr>
      <w:tr>
        <w:trPr>
          <w:cantSplit/>
        </w:trPr>
        <w:tc>
          <w:tcPr>
            <w:tcW w:type="dxa" w:w="355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6"/>
              </w:rPr>
              <w:t>Blue instruction box</w:t>
            </w:r>
          </w:p>
        </w:tc>
        <w:tc>
          <w:tcPr>
            <w:tcW w:type="dxa" w:w="355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6"/>
              </w:rPr>
              <w:t>Guidance/comment only</w:t>
            </w:r>
          </w:p>
        </w:tc>
        <w:tc>
          <w:tcPr>
            <w:tcW w:type="dxa" w:w="355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6"/>
              </w:rPr>
              <w:t>Delete before final report issue.</w:t>
            </w:r>
          </w:p>
        </w:tc>
      </w:tr>
      <w:tr>
        <w:trPr>
          <w:cantSplit/>
        </w:trPr>
        <w:tc>
          <w:tcPr>
            <w:tcW w:type="dxa" w:w="355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6"/>
              </w:rPr>
              <w:t>Plain black text</w:t>
            </w:r>
          </w:p>
        </w:tc>
        <w:tc>
          <w:tcPr>
            <w:tcW w:type="dxa" w:w="355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6"/>
              </w:rPr>
              <w:t>Standard wording</w:t>
            </w:r>
          </w:p>
        </w:tc>
        <w:tc>
          <w:tcPr>
            <w:tcW w:type="dxa" w:w="355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6"/>
              </w:rPr>
              <w:t>Do not edit unless approved by Compliance, Legal or authorised template owner.</w:t>
            </w:r>
          </w:p>
        </w:tc>
      </w:tr>
    </w:tbl>
    <w:tbl>
      <w:tblPr>
        <w:tblW w:type="auto" w:w="0"/>
        <w:jc w:val="center"/>
        <w:tblLayout w:type="autofit"/>
        <w:tblLook w:firstColumn="1" w:firstRow="1" w:lastColumn="0" w:lastRow="0" w:noHBand="0" w:noVBand="1" w:val="04A0"/>
      </w:tblPr>
      <w:tblGrid>
        <w:gridCol w:w="10656"/>
      </w:tblGrid>
      <w:tr>
        <w:tc>
          <w:tcPr>
            <w:tcW w:type="dxa" w:w="10656"/>
            <w:shd w:fill="EAF4FF"/>
            <w:tcBorders>
              <w:top w:val="single" w:sz="6" w:space="0" w:color="B7D7F5"/>
              <w:left w:val="single" w:sz="6" w:space="0" w:color="B7D7F5"/>
              <w:bottom w:val="single" w:sz="6" w:space="0" w:color="B7D7F5"/>
              <w:right w:val="single" w:sz="6" w:space="0" w:color="B7D7F5"/>
              <w:insideH w:val="single" w:sz="6" w:space="0" w:color="B7D7F5"/>
              <w:insideV w:val="single" w:sz="6" w:space="0" w:color="B7D7F5"/>
            </w:tcBorders>
            <w:tcMar>
              <w:top w:w="90" w:type="dxa"/>
              <w:start w:w="120" w:type="dxa"/>
              <w:bottom w:w="90" w:type="dxa"/>
              <w:end w:w="120" w:type="dxa"/>
            </w:tcMar>
          </w:tcPr>
          <w:p>
            <w:r>
              <w:rPr>
                <w:rFonts w:ascii="Arial" w:hAnsi="Arial"/>
                <w:b/>
                <w:i w:val="0"/>
                <w:color w:val="0B63B6"/>
                <w:sz w:val="16"/>
              </w:rPr>
              <w:t xml:space="preserve">INSTRUCTION: </w:t>
            </w:r>
            <w:r>
              <w:rPr>
                <w:rFonts w:ascii="Arial" w:hAnsi="Arial"/>
                <w:b w:val="0"/>
                <w:i w:val="0"/>
                <w:color w:val="0B3A63"/>
                <w:sz w:val="16"/>
              </w:rPr>
              <w:t>This report is designed for asset managers and discretionary portfolio managers. It should be generated from the Stock Price Collector / Portfolio Valuation module using approved holdings, prices, FX rates, cash balances, mandate limits and benchmark data.</w:t>
            </w:r>
          </w:p>
        </w:tc>
      </w:tr>
    </w:tbl>
    <w:p>
      <w:pPr>
        <w:spacing w:after="40"/>
      </w:pPr>
    </w:p>
    <w:p>
      <w:pPr>
        <w:spacing w:before="200" w:after="100"/>
        <w:pBdr>
          <w:bottom w:val="single" w:sz="6" w:space="4" w:color="D9E2EA"/>
        </w:pBdr>
      </w:pPr>
      <w:r>
        <w:rPr>
          <w:rFonts w:ascii="Arial" w:hAnsi="Arial"/>
          <w:b/>
          <w:i w:val="0"/>
          <w:color w:val="061826"/>
          <w:sz w:val="26"/>
        </w:rPr>
        <w:t>1. Confidentiality, Reliance and Report Basis</w:t>
      </w:r>
    </w:p>
    <w:p>
      <w:pPr>
        <w:spacing w:after="80"/>
      </w:pPr>
      <w:r>
        <w:rPr>
          <w:rFonts w:ascii="Arial" w:hAnsi="Arial"/>
          <w:b w:val="0"/>
          <w:i w:val="0"/>
          <w:color w:val="111827"/>
          <w:sz w:val="18"/>
        </w:rPr>
        <w:t xml:space="preserve">This Asset Allocation Report is confidential and is issued solely for the use of </w:t>
      </w:r>
      <w:r>
        <w:rPr>
          <w:rFonts w:ascii="Arial" w:hAnsi="Arial"/>
          <w:b w:val="0"/>
          <w:color w:val="111827"/>
          <w:sz w:val="18"/>
          <w:highlight w:val="yellow"/>
        </w:rPr>
        <w:t xml:space="preserve">Admin User</w:t>
      </w:r>
      <w:r>
        <w:rPr>
          <w:rFonts w:ascii="Arial" w:hAnsi="Arial"/>
          <w:b w:val="0"/>
          <w:i w:val="0"/>
          <w:color w:val="111827"/>
          <w:sz w:val="18"/>
        </w:rPr>
        <w:t xml:space="preserve"> in relation to </w:t>
      </w:r>
      <w:r>
        <w:rPr>
          <w:rFonts w:ascii="Arial" w:hAnsi="Arial"/>
          <w:b w:val="0"/>
          <w:color w:val="111827"/>
          <w:sz w:val="18"/>
          <w:highlight w:val="yellow"/>
        </w:rPr>
        <w:t xml:space="preserve">Arcus Listed Portfolio</w:t>
      </w:r>
      <w:r>
        <w:rPr>
          <w:rFonts w:ascii="Arial" w:hAnsi="Arial"/>
          <w:b w:val="0"/>
          <w:i w:val="0"/>
          <w:color w:val="111827"/>
          <w:sz w:val="18"/>
        </w:rPr>
        <w:t xml:space="preserve">. It may not be copied, distributed, disclosed, relied upon by, or made available to any third party without the prior written consent of </w:t>
      </w:r>
      <w:r>
        <w:rPr>
          <w:rFonts w:ascii="Arial" w:hAnsi="Arial"/>
          <w:b w:val="0"/>
          <w:color w:val="111827"/>
          <w:sz w:val="18"/>
          <w:highlight w:val="yellow"/>
        </w:rPr>
        <w:t xml:space="preserve">Admin User</w:t>
      </w:r>
      <w:r>
        <w:rPr>
          <w:rFonts w:ascii="Arial" w:hAnsi="Arial"/>
          <w:b w:val="0"/>
          <w:i w:val="0"/>
          <w:color w:val="111827"/>
          <w:sz w:val="18"/>
        </w:rPr>
        <w:t>, except where disclosure is required by law, regulation, an authorised regulator, auditor, custodian, trustee, tax adviser or professional adviser.</w:t>
      </w:r>
    </w:p>
    <w:p>
      <w:pPr>
        <w:spacing w:after="80"/>
      </w:pPr>
      <w:r>
        <w:rPr>
          <w:rFonts w:ascii="Arial" w:hAnsi="Arial"/>
          <w:b w:val="0"/>
          <w:i w:val="0"/>
          <w:color w:val="111827"/>
          <w:sz w:val="18"/>
        </w:rPr>
        <w:t xml:space="preserve">The report is prepared from approved portfolio records, including validated holdings, approved market prices, approved FX rates, cash positions and mandate configuration as at </w:t>
      </w:r>
      <w:r>
        <w:rPr>
          <w:rFonts w:ascii="Arial" w:hAnsi="Arial"/>
          <w:b w:val="0"/>
          <w:color w:val="111827"/>
          <w:sz w:val="18"/>
          <w:highlight w:val="yellow"/>
        </w:rPr>
        <w:t xml:space="preserve">2026-07-10</w:t>
      </w:r>
      <w:r>
        <w:rPr>
          <w:rFonts w:ascii="Arial" w:hAnsi="Arial"/>
          <w:b w:val="0"/>
          <w:i w:val="0"/>
          <w:color w:val="111827"/>
          <w:sz w:val="18"/>
        </w:rPr>
        <w:t>. It is intended to show portfolio exposure by asset class, sector, issuer, currency and country, and to support mandate review and investment committee oversight.</w:t>
      </w:r>
    </w:p>
    <w:p>
      <w:pPr>
        <w:spacing w:before="200" w:after="100"/>
        <w:pBdr>
          <w:bottom w:val="single" w:sz="6" w:space="4" w:color="D9E2EA"/>
        </w:pBdr>
      </w:pPr>
      <w:r>
        <w:rPr>
          <w:rFonts w:ascii="Arial" w:hAnsi="Arial"/>
          <w:b/>
          <w:i w:val="0"/>
          <w:color w:val="061826"/>
          <w:sz w:val="26"/>
        </w:rPr>
        <w:t>2. Report Header and Control Information</w:t>
      </w:r>
    </w:p>
    <w:tbl>
      <w:tblPr>
        <w:tblW w:type="auto" w:w="0"/>
        <w:jc w:val="center"/>
        <w:tblLayout w:type="autofit"/>
        <w:tblLook w:firstColumn="1" w:firstRow="1" w:lastColumn="0" w:lastRow="0" w:noHBand="0" w:noVBand="1" w:val="04A0"/>
      </w:tblPr>
      <w:tblGrid>
        <w:gridCol w:w="5328"/>
        <w:gridCol w:w="5328"/>
      </w:tblGrid>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Portfolio / Mandate Name</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 xml:space="preserve">Arcus Listed Portfolio</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Client Legal Name</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 xml:space="preserve">Arcus Listed Portfolio</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Mandate Type</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Portfolio Manager</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 xml:space="preserve">Admin User</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Custodian / Broker, if applicable</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 xml:space="preserve">Admin User</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Valuation Date</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 xml:space="preserve">2026-07-10</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Opening Portfolio Value</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 xml:space="preserve">USD 0.00</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Closing Portfolio Value</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 xml:space="preserve">USD 1,489,900.00</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Benchmark / Strategic Asset Allocation Basis</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 xml:space="preserve">Per approved investment operations policy and valuation records.</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Source Snapshot ID</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 xml:space="preserve">cmrfh6s4e008iktfqc8cf5gr3</w:t>
            </w:r>
          </w:p>
        </w:tc>
      </w:tr>
    </w:tbl>
    <w:p>
      <w:pPr>
        <w:spacing w:before="200" w:after="100"/>
        <w:pBdr>
          <w:bottom w:val="single" w:sz="6" w:space="4" w:color="D9E2EA"/>
        </w:pBdr>
      </w:pPr>
      <w:r>
        <w:rPr>
          <w:rFonts w:ascii="Arial" w:hAnsi="Arial"/>
          <w:b/>
          <w:i w:val="0"/>
          <w:color w:val="061826"/>
          <w:sz w:val="26"/>
        </w:rPr>
        <w:t>3. Executive Asset Allocation Summary</w:t>
      </w:r>
    </w:p>
    <w:tbl>
      <w:tblPr>
        <w:tblW w:type="auto" w:w="0"/>
        <w:jc w:val="center"/>
        <w:tblLayout w:type="autofit"/>
        <w:tblLook w:firstColumn="1" w:firstRow="1" w:lastColumn="0" w:lastRow="0" w:noHBand="0" w:noVBand="1" w:val="04A0"/>
      </w:tblPr>
      <w:tblGrid>
        <w:gridCol w:w="10656"/>
      </w:tblGrid>
      <w:tr>
        <w:tc>
          <w:tcPr>
            <w:tcW w:type="dxa" w:w="10656"/>
            <w:shd w:fill="EAF4FF"/>
            <w:tcBorders>
              <w:top w:val="single" w:sz="6" w:space="0" w:color="B7D7F5"/>
              <w:left w:val="single" w:sz="6" w:space="0" w:color="B7D7F5"/>
              <w:bottom w:val="single" w:sz="6" w:space="0" w:color="B7D7F5"/>
              <w:right w:val="single" w:sz="6" w:space="0" w:color="B7D7F5"/>
              <w:insideH w:val="single" w:sz="6" w:space="0" w:color="B7D7F5"/>
              <w:insideV w:val="single" w:sz="6" w:space="0" w:color="B7D7F5"/>
            </w:tcBorders>
            <w:tcMar>
              <w:top w:w="90" w:type="dxa"/>
              <w:start w:w="120" w:type="dxa"/>
              <w:bottom w:w="90" w:type="dxa"/>
              <w:end w:w="120" w:type="dxa"/>
            </w:tcMar>
          </w:tcPr>
          <w:p>
            <w:r>
              <w:rPr>
                <w:rFonts w:ascii="Arial" w:hAnsi="Arial"/>
                <w:b/>
                <w:i w:val="0"/>
                <w:color w:val="0B63B6"/>
                <w:sz w:val="16"/>
              </w:rPr>
              <w:t xml:space="preserve">INSTRUCTION: </w:t>
            </w:r>
            <w:r>
              <w:rPr>
                <w:rFonts w:ascii="Arial" w:hAnsi="Arial"/>
                <w:b w:val="0"/>
                <w:i w:val="0"/>
                <w:color w:val="0B3A63"/>
                <w:sz w:val="16"/>
              </w:rPr>
              <w:t>Complete the portfolio manager commentary after reviewing the system-generated allocation tables, mandate limits and exceptions. Keep commentary concise and evidence-based.</w:t>
            </w:r>
          </w:p>
        </w:tc>
      </w:tr>
    </w:tbl>
    <w:p>
      <w:pPr>
        <w:spacing w:after="40"/>
      </w:pPr>
    </w:p>
    <w:p>
      <w:pPr>
        <w:spacing w:after="80"/>
      </w:pPr>
      <w:r>
        <w:rPr>
          <w:rFonts w:ascii="Arial" w:hAnsi="Arial"/>
          <w:b w:val="0"/>
          <w:color w:val="111827"/>
          <w:sz w:val="18"/>
          <w:highlight w:val="yellow"/>
        </w:rPr>
        <w:t xml:space="preserve">Per approved investment operations policy and valuation records.</w:t>
      </w: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cantSplit/>
        </w:trPr>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5"/>
              </w:rPr>
              <w:t>Allocation Metric</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5"/>
              </w:rPr>
              <w:t>Current Period</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5"/>
              </w:rPr>
              <w:t>Prior Period</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5"/>
              </w:rPr>
              <w:t>Movement</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5"/>
              </w:rPr>
              <w:t>Comment</w:t>
            </w:r>
          </w:p>
        </w:tc>
      </w:tr>
      <w:tr>
        <w:trPr>
          <w:cantSplit/>
        </w:trPr>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5"/>
              </w:rPr>
              <w:t>Total portfolio value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 xml:space="preserve">USD 0.00</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 xml:space="preserve">USD 0.00</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 xml:space="preserve">USD 0.00</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 xml:space="preserve">Per approved investment operations policy and valuation records.</w:t>
            </w:r>
          </w:p>
        </w:tc>
      </w:tr>
      <w:tr>
        <w:trPr>
          <w:cantSplit/>
        </w:trPr>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5"/>
              </w:rPr>
              <w:t>Largest asset class exposure</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 xml:space="preserve">—</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 xml:space="preserve">—</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 xml:space="preserve">—</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 xml:space="preserve">Per approved investment operations policy and valuation records.</w:t>
            </w:r>
          </w:p>
        </w:tc>
      </w:tr>
      <w:tr>
        <w:trPr>
          <w:cantSplit/>
        </w:trPr>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5"/>
              </w:rPr>
              <w:t>Largest issuer exposure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 xml:space="preserv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 xml:space="preserv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 xml:space="preserv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 xml:space="preserve">Per approved investment operations policy and valuation records.</w:t>
            </w:r>
          </w:p>
        </w:tc>
      </w:tr>
      <w:tr>
        <w:trPr>
          <w:cantSplit/>
        </w:trPr>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5"/>
              </w:rPr>
              <w:t>Foreign currency exposure</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 xml:space="preserve">—</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 xml:space="preserve">—</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 xml:space="preserve">—</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 xml:space="preserve">Per approved investment operations policy and valuation records.</w:t>
            </w:r>
          </w:p>
        </w:tc>
      </w:tr>
      <w:tr>
        <w:trPr>
          <w:cantSplit/>
        </w:trPr>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5"/>
              </w:rPr>
              <w:t>Unlisted / illiquid exposure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 xml:space="preserv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 xml:space="preserv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 xml:space="preserv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 xml:space="preserve">Per approved investment operations policy and valuation records.</w:t>
            </w:r>
          </w:p>
        </w:tc>
      </w:tr>
      <w:tr>
        <w:trPr>
          <w:cantSplit/>
        </w:trPr>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5"/>
              </w:rPr>
              <w:t>Mandate breaches</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 xml:space="preserve">—</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 xml:space="preserve">—</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 xml:space="preserve">—</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5"/>
                <w:highlight w:val="yellow"/>
              </w:rPr>
              <w:t xml:space="preserve">Per approved investment operations policy and valuation records.</w:t>
            </w:r>
          </w:p>
        </w:tc>
      </w:tr>
    </w:tbl>
    <w:p>
      <w:pPr>
        <w:spacing w:before="200" w:after="100"/>
        <w:pBdr>
          <w:bottom w:val="single" w:sz="6" w:space="4" w:color="D9E2EA"/>
        </w:pBdr>
      </w:pPr>
      <w:r>
        <w:rPr>
          <w:rFonts w:ascii="Arial" w:hAnsi="Arial"/>
          <w:b/>
          <w:i w:val="0"/>
          <w:color w:val="061826"/>
          <w:sz w:val="26"/>
        </w:rPr>
        <w:t>4. Asset Class Allocation</w:t>
      </w:r>
    </w:p>
    <w:tbl>
      <w:tblPr>
        <w:tblW w:type="auto" w:w="0"/>
        <w:jc w:val="center"/>
        <w:tblLayout w:type="autofit"/>
        <w:tblLook w:firstColumn="1" w:firstRow="1" w:lastColumn="0" w:lastRow="0" w:noHBand="0" w:noVBand="1" w:val="04A0"/>
      </w:tblPr>
      <w:tblGrid>
        <w:gridCol w:w="10656"/>
      </w:tblGrid>
      <w:tr>
        <w:tc>
          <w:tcPr>
            <w:tcW w:type="dxa" w:w="10656"/>
            <w:shd w:fill="EAF4FF"/>
            <w:tcBorders>
              <w:top w:val="single" w:sz="6" w:space="0" w:color="B7D7F5"/>
              <w:left w:val="single" w:sz="6" w:space="0" w:color="B7D7F5"/>
              <w:bottom w:val="single" w:sz="6" w:space="0" w:color="B7D7F5"/>
              <w:right w:val="single" w:sz="6" w:space="0" w:color="B7D7F5"/>
              <w:insideH w:val="single" w:sz="6" w:space="0" w:color="B7D7F5"/>
              <w:insideV w:val="single" w:sz="6" w:space="0" w:color="B7D7F5"/>
            </w:tcBorders>
            <w:tcMar>
              <w:top w:w="90" w:type="dxa"/>
              <w:start w:w="120" w:type="dxa"/>
              <w:bottom w:w="90" w:type="dxa"/>
              <w:end w:w="120" w:type="dxa"/>
            </w:tcMar>
          </w:tcPr>
          <w:p>
            <w:r>
              <w:rPr>
                <w:rFonts w:ascii="Arial" w:hAnsi="Arial"/>
                <w:b/>
                <w:i w:val="0"/>
                <w:color w:val="0B63B6"/>
                <w:sz w:val="16"/>
              </w:rPr>
              <w:t xml:space="preserve">INSTRUCTION: </w:t>
            </w:r>
            <w:r>
              <w:rPr>
                <w:rFonts w:ascii="Arial" w:hAnsi="Arial"/>
                <w:b w:val="0"/>
                <w:i w:val="0"/>
                <w:color w:val="0B3A63"/>
                <w:sz w:val="16"/>
              </w:rPr>
              <w:t>Use this section to compare actual allocation against approved mandate limits, investment policy statement limits or strategic asset allocation ranges.</w:t>
            </w:r>
          </w:p>
        </w:tc>
      </w:tr>
    </w:tbl>
    <w:p>
      <w:pPr>
        <w:spacing w:after="40"/>
      </w:pPr>
    </w:p>
    <w:tbl>
      <w:tblPr>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cantSplit/>
        </w:trPr>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Asset Class</w:t>
            </w:r>
          </w:p>
        </w:tc>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Market Value</w:t>
            </w:r>
          </w:p>
        </w:tc>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 of Portfolio</w:t>
            </w:r>
          </w:p>
        </w:tc>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Strategic / Target %</w:t>
            </w:r>
          </w:p>
        </w:tc>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Minimum %</w:t>
            </w:r>
          </w:p>
        </w:tc>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Maximum %</w:t>
            </w:r>
          </w:p>
        </w:tc>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Variance vs Target</w:t>
            </w:r>
          </w:p>
        </w:tc>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Status</w:t>
            </w:r>
          </w:p>
        </w:tc>
      </w:tr>
      <w:tr>
        <w:trPr>
          <w:cantSplit/>
        </w:trPr>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Listed equities</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USD 0.00</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100.00%</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w:r>
          </w:p>
        </w:tc>
      </w:tr>
      <w:tr>
        <w:trPr>
          <w:cantSplit/>
        </w:trPr>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Money market instruments</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USD 0.00</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w:r>
          </w:p>
        </w:tc>
      </w:tr>
      <w:tr>
        <w:trPr>
          <w:cantSplit/>
        </w:trPr>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Bonds / fixed income</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USD 0.00</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w:r>
          </w:p>
        </w:tc>
      </w:tr>
      <w:tr>
        <w:trPr>
          <w:cantSplit/>
        </w:trPr>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Property / REITs</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USD 0.00</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w:r>
          </w:p>
        </w:tc>
      </w:tr>
      <w:tr>
        <w:trPr>
          <w:cantSplit/>
        </w:trPr>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Unquoted equities / private assets</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USD 0.00</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w:r>
          </w:p>
        </w:tc>
      </w:tr>
      <w:tr>
        <w:trPr>
          <w:cantSplit/>
        </w:trPr>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Cash and cash equivalents</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USD 0.00</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w:r>
          </w:p>
        </w:tc>
      </w:tr>
      <w:tr>
        <w:trPr>
          <w:cantSplit/>
        </w:trPr>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Other</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USD 0.00</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w:r>
          </w:p>
        </w:tc>
      </w:tr>
      <w:tr>
        <w:trPr>
          <w:cantSplit/>
        </w:trPr>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Total</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USD 1,489,900.00</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100.00%</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r>
          </w:p>
        </w:tc>
      </w:tr>
    </w:tbl>
    <w:p>
      <w:pPr>
        <w:spacing w:before="200" w:after="100"/>
        <w:pBdr>
          <w:bottom w:val="single" w:sz="6" w:space="4" w:color="D9E2EA"/>
        </w:pBdr>
      </w:pPr>
      <w:r>
        <w:rPr>
          <w:rFonts w:ascii="Arial" w:hAnsi="Arial"/>
          <w:b/>
          <w:i w:val="0"/>
          <w:color w:val="061826"/>
          <w:sz w:val="26"/>
        </w:rPr>
        <w:t>5. Allocation Movement and Rebalancing Review</w:t>
      </w:r>
    </w:p>
    <w:p>
      <w:pPr>
        <w:spacing w:after="80"/>
      </w:pPr>
      <w:r>
        <w:rPr>
          <w:rFonts w:ascii="Arial" w:hAnsi="Arial"/>
          <w:b w:val="0"/>
          <w:i w:val="0"/>
          <w:color w:val="111827"/>
          <w:sz w:val="18"/>
        </w:rPr>
        <w:t>The following table summarises allocation changes during the reporting period and identifies whether movement was driven by market price changes, cash flows, income, trades or FX effects.</w:t>
      </w:r>
    </w:p>
    <w:tbl>
      <w:tblPr>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cantSplit/>
        </w:trPr>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Asset Class</w:t>
            </w:r>
          </w:p>
        </w:tc>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Opening %</w:t>
            </w:r>
          </w:p>
        </w:tc>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Contributions / Inflows</w:t>
            </w:r>
          </w:p>
        </w:tc>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Withdrawals / Outflows</w:t>
            </w:r>
          </w:p>
        </w:tc>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Net Trades</w:t>
            </w:r>
          </w:p>
        </w:tc>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Market / FX Movement</w:t>
            </w:r>
          </w:p>
        </w:tc>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Closing %</w:t>
            </w:r>
          </w:p>
        </w:tc>
        <w:tc>
          <w:tcPr>
            <w:tcW w:type="dxa" w:w="133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Rebalancing Action</w:t>
            </w:r>
          </w:p>
        </w:tc>
      </w:tr>
      <w:tr>
        <w:trPr>
          <w:cantSplit/>
        </w:trPr>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Equity</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r>
      <w:tr>
        <w:trPr>
          <w:cantSplit/>
        </w:trPr>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Equity</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r>
      <w:tr>
        <w:trPr>
          <w:cantSplit/>
        </w:trPr>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Equity</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33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r>
    </w:tbl>
    <w:p>
      <w:pPr>
        <w:sectPr>
          <w:headerReference w:type="default" r:id="rId9"/>
          <w:footerReference w:type="default" r:id="rId10"/>
          <w:pgSz w:w="12240" w:h="15840"/>
          <w:pgMar w:top="835" w:right="792" w:bottom="792" w:left="792" w:header="720" w:footer="720" w:gutter="0"/>
          <w:cols w:space="720"/>
          <w:docGrid w:linePitch="360"/>
        </w:sectPr>
      </w:pPr>
    </w:p>
    <w:p>
      <w:pPr>
        <w:spacing w:before="200" w:after="100"/>
        <w:pBdr>
          <w:bottom w:val="single" w:sz="6" w:space="4" w:color="D9E2EA"/>
        </w:pBdr>
      </w:pPr>
      <w:r>
        <w:rPr>
          <w:rFonts w:ascii="Arial" w:hAnsi="Arial"/>
          <w:b/>
          <w:i w:val="0"/>
          <w:color w:val="061826"/>
          <w:sz w:val="26"/>
        </w:rPr>
        <w:t>6. Detailed Exposure Schedules</w:t>
      </w:r>
    </w:p>
    <w:tbl>
      <w:tblPr>
        <w:tblW w:type="auto" w:w="0"/>
        <w:jc w:val="center"/>
        <w:tblLayout w:type="autofit"/>
        <w:tblLook w:firstColumn="1" w:firstRow="1" w:lastColumn="0" w:lastRow="0" w:noHBand="0" w:noVBand="1" w:val="04A0"/>
      </w:tblPr>
      <w:tblGrid>
        <w:gridCol w:w="14544"/>
      </w:tblGrid>
      <w:tr>
        <w:tc>
          <w:tcPr>
            <w:tcW w:type="dxa" w:w="14544"/>
            <w:shd w:fill="EAF4FF"/>
            <w:tcBorders>
              <w:top w:val="single" w:sz="6" w:space="0" w:color="B7D7F5"/>
              <w:left w:val="single" w:sz="6" w:space="0" w:color="B7D7F5"/>
              <w:bottom w:val="single" w:sz="6" w:space="0" w:color="B7D7F5"/>
              <w:right w:val="single" w:sz="6" w:space="0" w:color="B7D7F5"/>
              <w:insideH w:val="single" w:sz="6" w:space="0" w:color="B7D7F5"/>
              <w:insideV w:val="single" w:sz="6" w:space="0" w:color="B7D7F5"/>
            </w:tcBorders>
            <w:tcMar>
              <w:top w:w="90" w:type="dxa"/>
              <w:start w:w="120" w:type="dxa"/>
              <w:bottom w:w="90" w:type="dxa"/>
              <w:end w:w="120" w:type="dxa"/>
            </w:tcMar>
          </w:tcPr>
          <w:p>
            <w:r>
              <w:rPr>
                <w:rFonts w:ascii="Arial" w:hAnsi="Arial"/>
                <w:b/>
                <w:i w:val="0"/>
                <w:color w:val="0B63B6"/>
                <w:sz w:val="16"/>
              </w:rPr>
              <w:t xml:space="preserve">INSTRUCTION: </w:t>
            </w:r>
            <w:r>
              <w:rPr>
                <w:rFonts w:ascii="Arial" w:hAnsi="Arial"/>
                <w:b w:val="0"/>
                <w:i w:val="0"/>
                <w:color w:val="0B3A63"/>
                <w:sz w:val="16"/>
              </w:rPr>
              <w:t>The tables in this section may be populated directly from Arcus using approved valuation snapshots. Where exposures breach limits, ensure the exception is repeated in Section 10.</w:t>
            </w:r>
          </w:p>
        </w:tc>
      </w:tr>
    </w:tbl>
    <w:p>
      <w:pPr>
        <w:spacing w:after="40"/>
      </w:pPr>
    </w:p>
    <w:p>
      <w:pPr>
        <w:spacing w:after="80"/>
      </w:pPr>
      <w:r>
        <w:rPr>
          <w:rFonts w:ascii="Arial" w:hAnsi="Arial"/>
          <w:b/>
          <w:i w:val="0"/>
          <w:color w:val="061826"/>
          <w:sz w:val="20"/>
        </w:rPr>
        <w:t>6.1 Sector Exposure</w:t>
      </w:r>
    </w:p>
    <w:tbl>
      <w:tblPr>
        <w:tblW w:type="auto" w:w="0"/>
        <w:jc w:val="center"/>
        <w:tblLayout w:type="autofit"/>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cantSplit/>
        </w:trPr>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Sector</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Market Value</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 of Portfolio</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Prior %</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Movement</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Benchmark %</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Variance vs Benchmark</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Mandate Limit</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Status</w:t>
            </w:r>
          </w:p>
        </w:tc>
      </w:tr>
      <w:tr>
        <w:trPr>
          <w:cantSplit/>
        </w:trPr>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USD 311,250.00</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20.89%</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0.00%</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0.00%</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Pass</w:t>
            </w:r>
          </w:p>
        </w:tc>
      </w:tr>
      <w:tr>
        <w:trPr>
          <w:cantSplit/>
        </w:trPr>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USD 281,250.00</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18.88%</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0.00%</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0.00%</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Pass</w:t>
            </w:r>
          </w:p>
        </w:tc>
      </w:tr>
      <w:tr>
        <w:trPr>
          <w:cantSplit/>
        </w:trPr>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USD 210,500.00</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14.13%</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0.00%</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0.00%</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Pass</w:t>
            </w:r>
          </w:p>
        </w:tc>
      </w:tr>
      <w:tr>
        <w:trPr>
          <w:cantSplit/>
        </w:trPr>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3"/>
              </w:rPr>
              <w:t>Total</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USD 0.00</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100.00%</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3"/>
              </w:rPr>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3"/>
              </w:rPr>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3"/>
              </w:rPr>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3"/>
              </w:rPr>
            </w:r>
          </w:p>
        </w:tc>
      </w:tr>
    </w:tbl>
    <w:p>
      <w:pPr>
        <w:spacing w:after="80"/>
      </w:pPr>
      <w:r>
        <w:rPr>
          <w:rFonts w:ascii="Arial" w:hAnsi="Arial"/>
          <w:b/>
          <w:i w:val="0"/>
          <w:color w:val="061826"/>
          <w:sz w:val="20"/>
        </w:rPr>
        <w:t>6.2 Issuer Concentration</w:t>
      </w:r>
    </w:p>
    <w:tbl>
      <w:tblPr>
        <w:tblW w:type="auto" w:w="0"/>
        <w:jc w:val="center"/>
        <w:tblLayout w:type="autofit"/>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cantSplit/>
        </w:trPr>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Rank</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Issuer</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Instrument(s)</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Asset Class</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Market Value</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 of Portfolio</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Single Issuer Limit</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Related Party?</w:t>
            </w:r>
          </w:p>
        </w:tc>
        <w:tc>
          <w:tcPr>
            <w:tcW w:type="dxa" w:w="161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Status / Comment</w:t>
            </w:r>
          </w:p>
        </w:tc>
      </w:tr>
      <w:tr>
        <w:trPr>
          <w:cantSplit/>
        </w:trPr>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Equity</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USD 311,250.00</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20.89%</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Pass</w:t>
            </w:r>
          </w:p>
        </w:tc>
      </w:tr>
      <w:tr>
        <w:trPr>
          <w:cantSplit/>
        </w:trPr>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Equity</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USD 281,250.00</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18.88%</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Pass</w:t>
            </w:r>
          </w:p>
        </w:tc>
      </w:tr>
      <w:tr>
        <w:trPr>
          <w:cantSplit/>
        </w:trPr>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Equity</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USD 210,500.00</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14.13%</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Pass</w:t>
            </w:r>
          </w:p>
        </w:tc>
      </w:tr>
      <w:tr>
        <w:trPr>
          <w:cantSplit/>
        </w:trPr>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Equity</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USD 182,000.00</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12.22%</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Pass</w:t>
            </w:r>
          </w:p>
        </w:tc>
      </w:tr>
      <w:tr>
        <w:trPr>
          <w:cantSplit/>
        </w:trPr>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Equity</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USD 170,000.00</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11.41%</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61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Pass</w:t>
            </w:r>
          </w:p>
        </w:tc>
      </w:tr>
    </w:tbl>
    <w:p>
      <w:pPr>
        <w:spacing w:after="80"/>
      </w:pPr>
      <w:r>
        <w:rPr>
          <w:rFonts w:ascii="Arial" w:hAnsi="Arial"/>
          <w:b/>
          <w:i w:val="0"/>
          <w:color w:val="061826"/>
          <w:sz w:val="20"/>
        </w:rPr>
        <w:t>6.3 Currency Exposure</w:t>
      </w:r>
    </w:p>
    <w:tbl>
      <w:tblPr>
        <w:tblW w:type="auto" w:w="0"/>
        <w:jc w:val="center"/>
        <w:tblLayout w:type="autofit"/>
        <w:tblLook w:firstColumn="1" w:firstRow="1" w:lastColumn="0" w:lastRow="0" w:noHBand="0" w:noVBand="1" w:val="04A0"/>
      </w:tblPr>
      <w:tblGrid>
        <w:gridCol w:w="1818"/>
        <w:gridCol w:w="1818"/>
        <w:gridCol w:w="1818"/>
        <w:gridCol w:w="1818"/>
        <w:gridCol w:w="1818"/>
        <w:gridCol w:w="1818"/>
        <w:gridCol w:w="1818"/>
        <w:gridCol w:w="1818"/>
      </w:tblGrid>
      <w:tr>
        <w:trPr>
          <w:tblHeader w:val="true"/>
          <w:cantSplit/>
        </w:trPr>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Currency</w:t>
            </w:r>
          </w:p>
        </w:tc>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Market Value in Local Currency</w:t>
            </w:r>
          </w:p>
        </w:tc>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FX Rate Used</w:t>
            </w:r>
          </w:p>
        </w:tc>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Base Currency Value</w:t>
            </w:r>
          </w:p>
        </w:tc>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 of Portfolio</w:t>
            </w:r>
          </w:p>
        </w:tc>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Approved FX Source</w:t>
            </w:r>
          </w:p>
        </w:tc>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Limit / Policy</w:t>
            </w:r>
          </w:p>
        </w:tc>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Status</w:t>
            </w:r>
          </w:p>
        </w:tc>
      </w:tr>
      <w:tr>
        <w:trPr>
          <w:cantSplit/>
        </w:trPr>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USD</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USD 0.00</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USD 0.00</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20.89%</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Pass</w:t>
            </w:r>
          </w:p>
        </w:tc>
      </w:tr>
      <w:tr>
        <w:trPr>
          <w:cantSplit/>
        </w:trPr>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USD</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USD 0.00</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USD 0.00</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18.88%</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Pass</w:t>
            </w:r>
          </w:p>
        </w:tc>
      </w:tr>
      <w:tr>
        <w:trPr>
          <w:cantSplit/>
        </w:trPr>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USD</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USD 0.00</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USD 0.00</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14.13%</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Pass</w:t>
            </w:r>
          </w:p>
        </w:tc>
      </w:tr>
      <w:tr>
        <w:trPr>
          <w:cantSplit/>
        </w:trPr>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3"/>
              </w:rPr>
              <w:t>Total</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3"/>
              </w:rPr>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3"/>
              </w:rPr>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USD 0.00</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100.00%</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3"/>
              </w:rPr>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3"/>
              </w:rPr>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3"/>
              </w:rPr>
            </w:r>
          </w:p>
        </w:tc>
      </w:tr>
    </w:tbl>
    <w:p>
      <w:pPr>
        <w:spacing w:after="80"/>
      </w:pPr>
      <w:r>
        <w:rPr>
          <w:rFonts w:ascii="Arial" w:hAnsi="Arial"/>
          <w:b/>
          <w:i w:val="0"/>
          <w:color w:val="061826"/>
          <w:sz w:val="20"/>
        </w:rPr>
        <w:t>6.4 Country / Geographic Exposure</w:t>
      </w:r>
    </w:p>
    <w:tbl>
      <w:tblPr>
        <w:tblW w:type="auto" w:w="0"/>
        <w:jc w:val="center"/>
        <w:tblLayout w:type="autofit"/>
        <w:tblLook w:firstColumn="1" w:firstRow="1" w:lastColumn="0" w:lastRow="0" w:noHBand="0" w:noVBand="1" w:val="04A0"/>
      </w:tblPr>
      <w:tblGrid>
        <w:gridCol w:w="1818"/>
        <w:gridCol w:w="1818"/>
        <w:gridCol w:w="1818"/>
        <w:gridCol w:w="1818"/>
        <w:gridCol w:w="1818"/>
        <w:gridCol w:w="1818"/>
        <w:gridCol w:w="1818"/>
        <w:gridCol w:w="1818"/>
      </w:tblGrid>
      <w:tr>
        <w:trPr>
          <w:tblHeader w:val="true"/>
          <w:cantSplit/>
        </w:trPr>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Country / Market</w:t>
            </w:r>
          </w:p>
        </w:tc>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Market Value</w:t>
            </w:r>
          </w:p>
        </w:tc>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 of Portfolio</w:t>
            </w:r>
          </w:p>
        </w:tc>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Prior %</w:t>
            </w:r>
          </w:p>
        </w:tc>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Movement</w:t>
            </w:r>
          </w:p>
        </w:tc>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Policy Limit</w:t>
            </w:r>
          </w:p>
        </w:tc>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Risk Classification</w:t>
            </w:r>
          </w:p>
        </w:tc>
        <w:tc>
          <w:tcPr>
            <w:tcW w:type="dxa" w:w="1818"/>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3"/>
              </w:rPr>
              <w:t>Status / Comment</w:t>
            </w:r>
          </w:p>
        </w:tc>
      </w:tr>
      <w:tr>
        <w:trPr>
          <w:cantSplit/>
        </w:trPr>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0</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USD 311,250.00</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20.89%</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0.00%</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Pass</w:t>
            </w:r>
          </w:p>
        </w:tc>
      </w:tr>
      <w:tr>
        <w:trPr>
          <w:cantSplit/>
        </w:trPr>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0</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USD 281,250.00</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18.88%</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0.00%</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818"/>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Pass</w:t>
            </w:r>
          </w:p>
        </w:tc>
      </w:tr>
      <w:tr>
        <w:trPr>
          <w:cantSplit/>
        </w:trPr>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0</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USD 210,500.00</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14.13%</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0.00%</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w:t>
            </w:r>
          </w:p>
        </w:tc>
        <w:tc>
          <w:tcPr>
            <w:tcW w:type="dxa" w:w="181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3"/>
                <w:highlight w:val="yellow"/>
              </w:rPr>
              <w:t xml:space="preserve">Pass</w:t>
            </w:r>
          </w:p>
        </w:tc>
      </w:tr>
    </w:tbl>
    <w:p>
      <w:pPr>
        <w:sectPr>
          <w:pgSz w:w="15840" w:h="12240" w:orient="landscape"/>
          <w:pgMar w:top="648" w:right="648" w:bottom="648" w:left="648" w:header="720" w:footer="720" w:gutter="0"/>
          <w:cols w:space="720"/>
          <w:docGrid w:linePitch="360"/>
        </w:sectPr>
      </w:pPr>
    </w:p>
    <w:p>
      <w:pPr>
        <w:spacing w:before="200" w:after="100"/>
        <w:pBdr>
          <w:bottom w:val="single" w:sz="6" w:space="4" w:color="D9E2EA"/>
        </w:pBdr>
      </w:pPr>
      <w:r>
        <w:rPr>
          <w:rFonts w:ascii="Arial" w:hAnsi="Arial"/>
          <w:b/>
          <w:i w:val="0"/>
          <w:color w:val="061826"/>
          <w:sz w:val="26"/>
        </w:rPr>
        <w:t>7. Liquidity, Instrument Type and Settlement Exposure</w:t>
      </w:r>
    </w:p>
    <w:tbl>
      <w:tblPr>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cantSplit/>
        </w:trPr>
        <w:tc>
          <w:tcPr>
            <w:tcW w:type="dxa" w:w="152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Exposure Category</w:t>
            </w:r>
          </w:p>
        </w:tc>
        <w:tc>
          <w:tcPr>
            <w:tcW w:type="dxa" w:w="152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Market Value</w:t>
            </w:r>
          </w:p>
        </w:tc>
        <w:tc>
          <w:tcPr>
            <w:tcW w:type="dxa" w:w="152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 of Portfolio</w:t>
            </w:r>
          </w:p>
        </w:tc>
        <w:tc>
          <w:tcPr>
            <w:tcW w:type="dxa" w:w="152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Days to Liquidity / Maturity</w:t>
            </w:r>
          </w:p>
        </w:tc>
        <w:tc>
          <w:tcPr>
            <w:tcW w:type="dxa" w:w="152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Policy Limit</w:t>
            </w:r>
          </w:p>
        </w:tc>
        <w:tc>
          <w:tcPr>
            <w:tcW w:type="dxa" w:w="152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Status</w:t>
            </w:r>
          </w:p>
        </w:tc>
        <w:tc>
          <w:tcPr>
            <w:tcW w:type="dxa" w:w="152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Comment</w:t>
            </w:r>
          </w:p>
        </w:tc>
      </w:tr>
      <w:tr>
        <w:trPr>
          <w:cantSplit/>
        </w:trPr>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Same-day cash / call account</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USD 0.00</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Pass</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Per approved investment operations policy and valuation records.</w:t>
            </w:r>
          </w:p>
        </w:tc>
      </w:tr>
      <w:tr>
        <w:trPr>
          <w:cantSplit/>
        </w:trPr>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Money market under 90 days</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USD 0.00</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Pass</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Per approved investment operations policy and valuation records.</w:t>
            </w:r>
          </w:p>
        </w:tc>
      </w:tr>
      <w:tr>
        <w:trPr>
          <w:cantSplit/>
        </w:trPr>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Listed securities</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USD 0.00</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Pass</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Per approved investment operations policy and valuation records.</w:t>
            </w:r>
          </w:p>
        </w:tc>
      </w:tr>
      <w:tr>
        <w:trPr>
          <w:cantSplit/>
        </w:trPr>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Unlisted / private assets</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USD 0.00</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Pass</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Per approved investment operations policy and valuation records.</w:t>
            </w:r>
          </w:p>
        </w:tc>
      </w:tr>
      <w:tr>
        <w:trPr>
          <w:cantSplit/>
        </w:trPr>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Pending settlements</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USD 0.00</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0.00%</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2026-07-10</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Pass</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Per approved investment operations policy and valuation records.</w:t>
            </w:r>
          </w:p>
        </w:tc>
      </w:tr>
    </w:tbl>
    <w:p>
      <w:pPr>
        <w:spacing w:before="200" w:after="100"/>
        <w:pBdr>
          <w:bottom w:val="single" w:sz="6" w:space="4" w:color="D9E2EA"/>
        </w:pBdr>
      </w:pPr>
      <w:r>
        <w:rPr>
          <w:rFonts w:ascii="Arial" w:hAnsi="Arial"/>
          <w:b/>
          <w:i w:val="0"/>
          <w:color w:val="061826"/>
          <w:sz w:val="26"/>
        </w:rPr>
        <w:t>8. Mandate Compliance Review</w:t>
      </w:r>
    </w:p>
    <w:tbl>
      <w:tblPr>
        <w:tblW w:type="auto" w:w="0"/>
        <w:jc w:val="center"/>
        <w:tblLayout w:type="autofit"/>
        <w:tblLook w:firstColumn="1" w:firstRow="1" w:lastColumn="0" w:lastRow="0" w:noHBand="0" w:noVBand="1" w:val="04A0"/>
      </w:tblPr>
      <w:tblGrid>
        <w:gridCol w:w="10656"/>
      </w:tblGrid>
      <w:tr>
        <w:tc>
          <w:tcPr>
            <w:tcW w:type="dxa" w:w="10656"/>
            <w:shd w:fill="EAF4FF"/>
            <w:tcBorders>
              <w:top w:val="single" w:sz="6" w:space="0" w:color="B7D7F5"/>
              <w:left w:val="single" w:sz="6" w:space="0" w:color="B7D7F5"/>
              <w:bottom w:val="single" w:sz="6" w:space="0" w:color="B7D7F5"/>
              <w:right w:val="single" w:sz="6" w:space="0" w:color="B7D7F5"/>
              <w:insideH w:val="single" w:sz="6" w:space="0" w:color="B7D7F5"/>
              <w:insideV w:val="single" w:sz="6" w:space="0" w:color="B7D7F5"/>
            </w:tcBorders>
            <w:tcMar>
              <w:top w:w="90" w:type="dxa"/>
              <w:start w:w="120" w:type="dxa"/>
              <w:bottom w:w="90" w:type="dxa"/>
              <w:end w:w="120" w:type="dxa"/>
            </w:tcMar>
          </w:tcPr>
          <w:p>
            <w:r>
              <w:rPr>
                <w:rFonts w:ascii="Arial" w:hAnsi="Arial"/>
                <w:b/>
                <w:i w:val="0"/>
                <w:color w:val="0B63B6"/>
                <w:sz w:val="16"/>
              </w:rPr>
              <w:t xml:space="preserve">INSTRUCTION: </w:t>
            </w:r>
            <w:r>
              <w:rPr>
                <w:rFonts w:ascii="Arial" w:hAnsi="Arial"/>
                <w:b w:val="0"/>
                <w:i w:val="0"/>
                <w:color w:val="0B3A63"/>
                <w:sz w:val="16"/>
              </w:rPr>
              <w:t>Any breach or near-breach identified in this table must be supported by a management explanation and, where required, an action plan approved by the Portfolio Manager and Compliance Officer.</w:t>
            </w:r>
          </w:p>
        </w:tc>
      </w:tr>
    </w:tbl>
    <w:p>
      <w:pPr>
        <w:spacing w:after="40"/>
      </w:pPr>
    </w:p>
    <w:tbl>
      <w:tblPr>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cantSplit/>
        </w:trPr>
        <w:tc>
          <w:tcPr>
            <w:tcW w:type="dxa" w:w="177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Mandate Rule / Limit</w:t>
            </w:r>
          </w:p>
        </w:tc>
        <w:tc>
          <w:tcPr>
            <w:tcW w:type="dxa" w:w="177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Current Position</w:t>
            </w:r>
          </w:p>
        </w:tc>
        <w:tc>
          <w:tcPr>
            <w:tcW w:type="dxa" w:w="177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Limit / Threshold</w:t>
            </w:r>
          </w:p>
        </w:tc>
        <w:tc>
          <w:tcPr>
            <w:tcW w:type="dxa" w:w="177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Buffer</w:t>
            </w:r>
          </w:p>
        </w:tc>
        <w:tc>
          <w:tcPr>
            <w:tcW w:type="dxa" w:w="177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Status</w:t>
            </w:r>
          </w:p>
        </w:tc>
        <w:tc>
          <w:tcPr>
            <w:tcW w:type="dxa" w:w="1776"/>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Explanation / Remedial Action</w:t>
            </w:r>
          </w:p>
        </w:tc>
      </w:tr>
      <w:tr>
        <w:trPr>
          <w:cantSplit/>
        </w:trPr>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r>
      <w:tr>
        <w:trPr>
          <w:cantSplit/>
        </w:trPr>
        <w:tc>
          <w:tcPr>
            <w:tcW w:type="dxa" w:w="177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77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77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77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77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w:r>
          </w:p>
        </w:tc>
        <w:tc>
          <w:tcPr>
            <w:tcW w:type="dxa" w:w="177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r>
      <w:tr>
        <w:trPr>
          <w:cantSplit/>
        </w:trPr>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r>
      <w:tr>
        <w:trPr>
          <w:cantSplit/>
        </w:trPr>
        <w:tc>
          <w:tcPr>
            <w:tcW w:type="dxa" w:w="177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77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77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77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77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w:r>
          </w:p>
        </w:tc>
        <w:tc>
          <w:tcPr>
            <w:tcW w:type="dxa" w:w="1776"/>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r>
      <w:tr>
        <w:trPr>
          <w:cantSplit/>
        </w:trPr>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w:r>
          </w:p>
        </w:tc>
        <w:tc>
          <w:tcPr>
            <w:tcW w:type="dxa" w:w="1776"/>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r>
    </w:tbl>
    <w:p>
      <w:pPr>
        <w:spacing w:before="200" w:after="100"/>
        <w:pBdr>
          <w:bottom w:val="single" w:sz="6" w:space="4" w:color="D9E2EA"/>
        </w:pBdr>
      </w:pPr>
      <w:r>
        <w:rPr>
          <w:rFonts w:ascii="Arial" w:hAnsi="Arial"/>
          <w:b/>
          <w:i w:val="0"/>
          <w:color w:val="061826"/>
          <w:sz w:val="26"/>
        </w:rPr>
        <w:t>9. Portfolio Manager Commentary and Recommended Actions</w:t>
      </w:r>
    </w:p>
    <w:p>
      <w:pPr>
        <w:spacing w:after="80"/>
      </w:pPr>
      <w:r>
        <w:rPr>
          <w:rFonts w:ascii="Arial" w:hAnsi="Arial"/>
          <w:b/>
          <w:i w:val="0"/>
          <w:color w:val="061826"/>
          <w:sz w:val="18"/>
        </w:rPr>
        <w:t xml:space="preserve">Allocation commentary: </w:t>
      </w:r>
      <w:r>
        <w:rPr>
          <w:rFonts w:ascii="Arial" w:hAnsi="Arial"/>
          <w:b w:val="0"/>
          <w:color w:val="111827"/>
          <w:sz w:val="18"/>
          <w:highlight w:val="yellow"/>
        </w:rPr>
        <w:t xml:space="preserve">Per approved investment operations policy and valuation records.</w:t>
      </w:r>
    </w:p>
    <w:p>
      <w:pPr>
        <w:spacing w:after="80"/>
      </w:pPr>
      <w:r>
        <w:rPr>
          <w:rFonts w:ascii="Arial" w:hAnsi="Arial"/>
          <w:b/>
          <w:i w:val="0"/>
          <w:color w:val="061826"/>
          <w:sz w:val="18"/>
        </w:rPr>
        <w:t xml:space="preserve">Recommended rebalancing or action: </w:t>
      </w:r>
      <w:r>
        <w:rPr>
          <w:rFonts w:ascii="Arial" w:hAnsi="Arial"/>
          <w:b w:val="0"/>
          <w:color w:val="111827"/>
          <w:sz w:val="18"/>
          <w:highlight w:val="yellow"/>
        </w:rPr>
        <w:t xml:space="preserve">—</w:t>
      </w:r>
    </w:p>
    <w:p>
      <w:pPr>
        <w:spacing w:after="80"/>
      </w:pPr>
      <w:r>
        <w:rPr>
          <w:rFonts w:ascii="Arial" w:hAnsi="Arial"/>
          <w:b/>
          <w:i w:val="0"/>
          <w:color w:val="061826"/>
          <w:sz w:val="18"/>
        </w:rPr>
        <w:t xml:space="preserve">Client / committee attention points: </w:t>
      </w:r>
      <w:r>
        <w:rPr>
          <w:rFonts w:ascii="Arial" w:hAnsi="Arial"/>
          <w:b w:val="0"/>
          <w:color w:val="111827"/>
          <w:sz w:val="18"/>
          <w:highlight w:val="yellow"/>
        </w:rPr>
        <w:t xml:space="preserve">—</w:t>
      </w: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cantSplit/>
        </w:trPr>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Action Item</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Responsible Person</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Due Date</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Priority</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Status</w:t>
            </w:r>
          </w:p>
        </w:tc>
      </w:tr>
      <w:tr>
        <w:trPr>
          <w:cantSplit/>
        </w:trPr>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2026-07-10</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Pass</w:t>
            </w:r>
          </w:p>
        </w:tc>
      </w:tr>
      <w:tr>
        <w:trPr>
          <w:cantSplit/>
        </w:trPr>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2026-07-10</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Pass</w:t>
            </w:r>
          </w:p>
        </w:tc>
      </w:tr>
      <w:tr>
        <w:trPr>
          <w:cantSplit/>
        </w:trPr>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2026-07-10</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Pass</w:t>
            </w:r>
          </w:p>
        </w:tc>
      </w:tr>
    </w:tbl>
    <w:p>
      <w:pPr>
        <w:spacing w:before="200" w:after="100"/>
        <w:pBdr>
          <w:bottom w:val="single" w:sz="6" w:space="4" w:color="D9E2EA"/>
        </w:pBdr>
      </w:pPr>
      <w:r>
        <w:rPr>
          <w:rFonts w:ascii="Arial" w:hAnsi="Arial"/>
          <w:b/>
          <w:i w:val="0"/>
          <w:color w:val="061826"/>
          <w:sz w:val="26"/>
        </w:rPr>
        <w:t>10. Exceptions, Breaches and Overrides</w:t>
      </w:r>
    </w:p>
    <w:tbl>
      <w:tblPr>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cantSplit/>
        </w:trPr>
        <w:tc>
          <w:tcPr>
            <w:tcW w:type="dxa" w:w="152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Exception ID</w:t>
            </w:r>
          </w:p>
        </w:tc>
        <w:tc>
          <w:tcPr>
            <w:tcW w:type="dxa" w:w="152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Exception Type</w:t>
            </w:r>
          </w:p>
        </w:tc>
        <w:tc>
          <w:tcPr>
            <w:tcW w:type="dxa" w:w="152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Description</w:t>
            </w:r>
          </w:p>
        </w:tc>
        <w:tc>
          <w:tcPr>
            <w:tcW w:type="dxa" w:w="152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Financial Impact</w:t>
            </w:r>
          </w:p>
        </w:tc>
        <w:tc>
          <w:tcPr>
            <w:tcW w:type="dxa" w:w="152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Owner</w:t>
            </w:r>
          </w:p>
        </w:tc>
        <w:tc>
          <w:tcPr>
            <w:tcW w:type="dxa" w:w="152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Target Resolution Date</w:t>
            </w:r>
          </w:p>
        </w:tc>
        <w:tc>
          <w:tcPr>
            <w:tcW w:type="dxa" w:w="1522"/>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Approval / Waiver Status</w:t>
            </w:r>
          </w:p>
        </w:tc>
      </w:tr>
      <w:tr>
        <w:trPr>
          <w:cantSplit/>
        </w:trPr>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Per approved investment operations policy and valuation records.</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2026-07-10</w:t>
            </w:r>
          </w:p>
        </w:tc>
        <w:tc>
          <w:tcPr>
            <w:tcW w:type="dxa" w:w="1522"/>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Pass</w:t>
            </w:r>
          </w:p>
        </w:tc>
      </w:tr>
      <w:tr>
        <w:trPr>
          <w:cantSplit/>
        </w:trPr>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Per approved investment operations policy and valuation records.</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2026-07-10</w:t>
            </w:r>
          </w:p>
        </w:tc>
        <w:tc>
          <w:tcPr>
            <w:tcW w:type="dxa" w:w="1522"/>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Pass</w:t>
            </w:r>
          </w:p>
        </w:tc>
      </w:tr>
    </w:tbl>
    <w:p>
      <w:pPr>
        <w:spacing w:before="200" w:after="100"/>
        <w:pBdr>
          <w:bottom w:val="single" w:sz="6" w:space="4" w:color="D9E2EA"/>
        </w:pBdr>
      </w:pPr>
      <w:r>
        <w:rPr>
          <w:rFonts w:ascii="Arial" w:hAnsi="Arial"/>
          <w:b/>
          <w:i w:val="0"/>
          <w:color w:val="061826"/>
          <w:sz w:val="26"/>
        </w:rPr>
        <w:t>11. Methodology, Data Sources and Controls</w:t>
      </w:r>
    </w:p>
    <w:tbl>
      <w:tblPr>
        <w:tblW w:type="auto" w:w="0"/>
        <w:jc w:val="center"/>
        <w:tblLayout w:type="autofit"/>
        <w:tblLook w:firstColumn="1" w:firstRow="1" w:lastColumn="0" w:lastRow="0" w:noHBand="0" w:noVBand="1" w:val="04A0"/>
      </w:tblPr>
      <w:tblGrid>
        <w:gridCol w:w="2664"/>
        <w:gridCol w:w="2664"/>
        <w:gridCol w:w="2664"/>
        <w:gridCol w:w="2664"/>
      </w:tblGrid>
      <w:tr>
        <w:trPr>
          <w:tblHeader w:val="true"/>
          <w:cantSplit/>
        </w:trPr>
        <w:tc>
          <w:tcPr>
            <w:tcW w:type="dxa" w:w="2664"/>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Control Area</w:t>
            </w:r>
          </w:p>
        </w:tc>
        <w:tc>
          <w:tcPr>
            <w:tcW w:type="dxa" w:w="2664"/>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Required Evidence / Rule</w:t>
            </w:r>
          </w:p>
        </w:tc>
        <w:tc>
          <w:tcPr>
            <w:tcW w:type="dxa" w:w="2664"/>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Status</w:t>
            </w:r>
          </w:p>
        </w:tc>
        <w:tc>
          <w:tcPr>
            <w:tcW w:type="dxa" w:w="2664"/>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Comment</w:t>
            </w:r>
          </w:p>
        </w:tc>
      </w:tr>
      <w:tr>
        <w:trPr>
          <w:cantSplit/>
        </w:trPr>
        <w:tc>
          <w:tcPr>
            <w:tcW w:type="dxa" w:w="2664"/>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Holdings source</w:t>
            </w:r>
          </w:p>
        </w:tc>
        <w:tc>
          <w:tcPr>
            <w:tcW w:type="dxa" w:w="2664"/>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Holdings must be generated from approved portfolio positions as at the valuation date.</w:t>
            </w:r>
          </w:p>
        </w:tc>
        <w:tc>
          <w:tcPr>
            <w:tcW w:type="dxa" w:w="2664"/>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Pass</w:t>
            </w:r>
          </w:p>
        </w:tc>
        <w:tc>
          <w:tcPr>
            <w:tcW w:type="dxa" w:w="2664"/>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Per approved investment operations policy and valuation records.</w:t>
            </w:r>
          </w:p>
        </w:tc>
      </w:tr>
      <w:tr>
        <w:trPr>
          <w:cantSplit/>
        </w:trPr>
        <w:tc>
          <w:tcPr>
            <w:tcW w:type="dxa" w:w="2664"/>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Price source</w:t>
            </w:r>
          </w:p>
        </w:tc>
        <w:tc>
          <w:tcPr>
            <w:tcW w:type="dxa" w:w="2664"/>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All listed securities must use approved quarter-end / period-end prices.</w:t>
            </w:r>
          </w:p>
        </w:tc>
        <w:tc>
          <w:tcPr>
            <w:tcW w:type="dxa" w:w="2664"/>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Pass</w:t>
            </w:r>
          </w:p>
        </w:tc>
        <w:tc>
          <w:tcPr>
            <w:tcW w:type="dxa" w:w="2664"/>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Per approved investment operations policy and valuation records.</w:t>
            </w:r>
          </w:p>
        </w:tc>
      </w:tr>
      <w:tr>
        <w:trPr>
          <w:cantSplit/>
        </w:trPr>
        <w:tc>
          <w:tcPr>
            <w:tcW w:type="dxa" w:w="2664"/>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FX source</w:t>
            </w:r>
          </w:p>
        </w:tc>
        <w:tc>
          <w:tcPr>
            <w:tcW w:type="dxa" w:w="2664"/>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FX rates must be approved and traceable to the configured source.</w:t>
            </w:r>
          </w:p>
        </w:tc>
        <w:tc>
          <w:tcPr>
            <w:tcW w:type="dxa" w:w="2664"/>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Pass</w:t>
            </w:r>
          </w:p>
        </w:tc>
        <w:tc>
          <w:tcPr>
            <w:tcW w:type="dxa" w:w="2664"/>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Per approved investment operations policy and valuation records.</w:t>
            </w:r>
          </w:p>
        </w:tc>
      </w:tr>
      <w:tr>
        <w:trPr>
          <w:cantSplit/>
        </w:trPr>
        <w:tc>
          <w:tcPr>
            <w:tcW w:type="dxa" w:w="2664"/>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Cash balances</w:t>
            </w:r>
          </w:p>
        </w:tc>
        <w:tc>
          <w:tcPr>
            <w:tcW w:type="dxa" w:w="2664"/>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Cash balances must reconcile to bank/custodian records or approved cashbook records.</w:t>
            </w:r>
          </w:p>
        </w:tc>
        <w:tc>
          <w:tcPr>
            <w:tcW w:type="dxa" w:w="2664"/>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Pass</w:t>
            </w:r>
          </w:p>
        </w:tc>
        <w:tc>
          <w:tcPr>
            <w:tcW w:type="dxa" w:w="2664"/>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Per approved investment operations policy and valuation records.</w:t>
            </w:r>
          </w:p>
        </w:tc>
      </w:tr>
      <w:tr>
        <w:trPr>
          <w:cantSplit/>
        </w:trPr>
        <w:tc>
          <w:tcPr>
            <w:tcW w:type="dxa" w:w="2664"/>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Mandate limits</w:t>
            </w:r>
          </w:p>
        </w:tc>
        <w:tc>
          <w:tcPr>
            <w:tcW w:type="dxa" w:w="2664"/>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Allocation limits must reflect the approved client mandate or investment policy statement.</w:t>
            </w:r>
          </w:p>
        </w:tc>
        <w:tc>
          <w:tcPr>
            <w:tcW w:type="dxa" w:w="2664"/>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Pass</w:t>
            </w:r>
          </w:p>
        </w:tc>
        <w:tc>
          <w:tcPr>
            <w:tcW w:type="dxa" w:w="2664"/>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Per approved investment operations policy and valuation records.</w:t>
            </w:r>
          </w:p>
        </w:tc>
      </w:tr>
      <w:tr>
        <w:trPr>
          <w:cantSplit/>
        </w:trPr>
        <w:tc>
          <w:tcPr>
            <w:tcW w:type="dxa" w:w="2664"/>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Exceptions</w:t>
            </w:r>
          </w:p>
        </w:tc>
        <w:tc>
          <w:tcPr>
            <w:tcW w:type="dxa" w:w="2664"/>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Breaches and overrides must be logged and approved according to authority limits.</w:t>
            </w:r>
          </w:p>
        </w:tc>
        <w:tc>
          <w:tcPr>
            <w:tcW w:type="dxa" w:w="2664"/>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Pass</w:t>
            </w:r>
          </w:p>
        </w:tc>
        <w:tc>
          <w:tcPr>
            <w:tcW w:type="dxa" w:w="2664"/>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Per approved investment operations policy and valuation records.</w:t>
            </w:r>
          </w:p>
        </w:tc>
      </w:tr>
    </w:tbl>
    <w:p>
      <w:pPr>
        <w:spacing w:after="80"/>
      </w:pPr>
      <w:r>
        <w:rPr>
          <w:rFonts w:ascii="Arial" w:hAnsi="Arial"/>
          <w:b w:val="0"/>
          <w:i w:val="0"/>
          <w:color w:val="5B6770"/>
          <w:sz w:val="16"/>
        </w:rPr>
        <w:t>This report does not constitute a new investment recommendation unless expressly stated in the Portfolio Manager Commentary and approved under the applicable investment governance process. Allocation tables should be read together with the Client Portfolio Valuation Statement, Holdings Report, Transaction Report and Mandate Compliance Report where available.</w:t>
      </w:r>
    </w:p>
    <w:p>
      <w:pPr>
        <w:spacing w:before="200" w:after="100"/>
        <w:pBdr>
          <w:bottom w:val="single" w:sz="6" w:space="4" w:color="D9E2EA"/>
        </w:pBdr>
      </w:pPr>
      <w:r>
        <w:rPr>
          <w:rFonts w:ascii="Arial" w:hAnsi="Arial"/>
          <w:b/>
          <w:i w:val="0"/>
          <w:color w:val="061826"/>
          <w:sz w:val="26"/>
        </w:rPr>
        <w:t>12. Supporting Documents Register</w:t>
      </w: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cantSplit/>
        </w:trPr>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Document / Evidence</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Source Module / System</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Reference ID</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Reviewed By</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Status</w:t>
            </w:r>
          </w:p>
        </w:tc>
      </w:tr>
      <w:tr>
        <w:trPr>
          <w:cantSplit/>
        </w:trPr>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Approved holdings extract</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Stock Price Collector / Portfolio Valuation</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cmrfh6s4e008iktfqc8cf5gr3</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Admin User</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Pass</w:t>
            </w:r>
          </w:p>
        </w:tc>
      </w:tr>
      <w:tr>
        <w:trPr>
          <w:cantSplit/>
        </w:trPr>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Approved price file</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Stock Price Collector</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cmrfh6s4e008iktfqc8cf5gr3</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Admin User</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Pass</w:t>
            </w:r>
          </w:p>
        </w:tc>
      </w:tr>
      <w:tr>
        <w:trPr>
          <w:cantSplit/>
        </w:trPr>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Approved FX rate file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FX Register</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cmrfh6s4e008iktfqc8cf5gr3</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Admin User</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Pass</w:t>
            </w:r>
          </w:p>
        </w:tc>
      </w:tr>
      <w:tr>
        <w:trPr>
          <w:cantSplit/>
        </w:trPr>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Cash / bank reconciliation</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Cashbook / Custodian / Bank</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cmrfh6s4e008iktfqc8cf5gr3</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Admin User</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Pass</w:t>
            </w:r>
          </w:p>
        </w:tc>
      </w:tr>
      <w:tr>
        <w:trPr>
          <w:cantSplit/>
        </w:trPr>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Client mandate / IPS</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Document Archive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cmrfh6s4e008iktfqc8cf5gr3</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Admin User</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Pass</w:t>
            </w:r>
          </w:p>
        </w:tc>
      </w:tr>
    </w:tbl>
    <w:p>
      <w:pPr>
        <w:spacing w:before="200" w:after="100"/>
        <w:pBdr>
          <w:bottom w:val="single" w:sz="6" w:space="4" w:color="D9E2EA"/>
        </w:pBdr>
      </w:pPr>
      <w:r>
        <w:rPr>
          <w:rFonts w:ascii="Arial" w:hAnsi="Arial"/>
          <w:b/>
          <w:i w:val="0"/>
          <w:color w:val="061826"/>
          <w:sz w:val="26"/>
        </w:rPr>
        <w:t>13. Preparation, Review and Approval</w:t>
      </w:r>
    </w:p>
    <w:tbl>
      <w:tblPr>
        <w:tblW w:type="auto" w:w="0"/>
        <w:jc w:val="center"/>
        <w:tblLayout w:type="autofit"/>
        <w:tblLook w:firstColumn="1" w:firstRow="1" w:lastColumn="0" w:lastRow="0" w:noHBand="0" w:noVBand="1" w:val="04A0"/>
      </w:tblPr>
      <w:tblGrid>
        <w:gridCol w:w="10656"/>
      </w:tblGrid>
      <w:tr>
        <w:tc>
          <w:tcPr>
            <w:tcW w:type="dxa" w:w="10656"/>
            <w:shd w:fill="EAF4FF"/>
            <w:tcBorders>
              <w:top w:val="single" w:sz="6" w:space="0" w:color="B7D7F5"/>
              <w:left w:val="single" w:sz="6" w:space="0" w:color="B7D7F5"/>
              <w:bottom w:val="single" w:sz="6" w:space="0" w:color="B7D7F5"/>
              <w:right w:val="single" w:sz="6" w:space="0" w:color="B7D7F5"/>
              <w:insideH w:val="single" w:sz="6" w:space="0" w:color="B7D7F5"/>
              <w:insideV w:val="single" w:sz="6" w:space="0" w:color="B7D7F5"/>
            </w:tcBorders>
            <w:tcMar>
              <w:top w:w="90" w:type="dxa"/>
              <w:start w:w="120" w:type="dxa"/>
              <w:bottom w:w="90" w:type="dxa"/>
              <w:end w:w="120" w:type="dxa"/>
            </w:tcMar>
          </w:tcPr>
          <w:p>
            <w:r>
              <w:rPr>
                <w:rFonts w:ascii="Arial" w:hAnsi="Arial"/>
                <w:b/>
                <w:i w:val="0"/>
                <w:color w:val="0B63B6"/>
                <w:sz w:val="16"/>
              </w:rPr>
              <w:t xml:space="preserve">INSTRUCTION: </w:t>
            </w:r>
            <w:r>
              <w:rPr>
                <w:rFonts w:ascii="Arial" w:hAnsi="Arial"/>
                <w:b w:val="0"/>
                <w:i w:val="0"/>
                <w:color w:val="0B3A63"/>
                <w:sz w:val="16"/>
              </w:rPr>
              <w:t>Maker and checker must be different users. The report should not be published to the client portal or investment committee pack until approved and locked.</w:t>
            </w:r>
          </w:p>
        </w:tc>
      </w:tr>
    </w:tbl>
    <w:p>
      <w:pPr>
        <w:spacing w:after="40"/>
      </w:pP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cantSplit/>
        </w:trPr>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Role</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Name</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Designation</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Date</w:t>
            </w:r>
          </w:p>
        </w:tc>
        <w:tc>
          <w:tcPr>
            <w:tcW w:type="dxa" w:w="2131"/>
            <w:shd w:fill="061826"/>
            <w:tcBorders>
              <w:top w:val="single" w:sz="6" w:space="0" w:color="061826"/>
              <w:left w:val="single" w:sz="6" w:space="0" w:color="061826"/>
              <w:bottom w:val="single" w:sz="6" w:space="0" w:color="061826"/>
              <w:right w:val="single" w:sz="6" w:space="0" w:color="061826"/>
              <w:insideH w:val="single" w:sz="6" w:space="0" w:color="061826"/>
              <w:insideV w:val="single" w:sz="6" w:space="0" w:color="061826"/>
            </w:tcBorders>
            <w:tcMar>
              <w:top w:w="70" w:type="dxa"/>
              <w:start w:w="70" w:type="dxa"/>
              <w:bottom w:w="70" w:type="dxa"/>
              <w:end w:w="70" w:type="dxa"/>
            </w:tcMar>
          </w:tcPr>
          <w:p>
            <w:r>
              <w:rPr>
                <w:rFonts w:ascii="Arial" w:hAnsi="Arial"/>
                <w:b/>
                <w:i w:val="0"/>
                <w:color w:val="FFFFFF"/>
                <w:sz w:val="14"/>
              </w:rPr>
              <w:t>Signature / Digital Approval</w:t>
            </w:r>
          </w:p>
        </w:tc>
      </w:tr>
      <w:tr>
        <w:trPr>
          <w:cantSplit/>
        </w:trPr>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Prepared by - Maker</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Admin User</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Investment Operations</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2026-07-10</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Admin User</w:t>
            </w:r>
          </w:p>
        </w:tc>
      </w:tr>
      <w:tr>
        <w:trPr>
          <w:cantSplit/>
        </w:trPr>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Reviewed by - Portfolio Manager</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Admin User</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Portfolio Manager</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2026-07-10</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Admin User</w:t>
            </w:r>
          </w:p>
        </w:tc>
      </w:tr>
      <w:tr>
        <w:trPr>
          <w:cantSplit/>
        </w:trPr>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Reviewed by - Compliance</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Admin User</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Admin User</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2026-07-10</w:t>
            </w:r>
          </w:p>
        </w:tc>
        <w:tc>
          <w:tcPr>
            <w:tcW w:type="dxa" w:w="2131"/>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Admin User</w:t>
            </w:r>
          </w:p>
        </w:tc>
      </w:tr>
      <w:tr>
        <w:trPr>
          <w:cantSplit/>
        </w:trPr>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i w:val="0"/>
                <w:color w:val="111827"/>
                <w:sz w:val="14"/>
              </w:rPr>
              <w:t>Approved by - Checker</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Admin User</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Investment Operations</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2026-07-10</w:t>
            </w:r>
          </w:p>
        </w:tc>
        <w:tc>
          <w:tcPr>
            <w:tcW w:type="dxa" w:w="2131"/>
            <w:shd w:fill="F3F8FF"/>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65" w:type="dxa"/>
              <w:start w:w="60" w:type="dxa"/>
              <w:bottom w:w="65" w:type="dxa"/>
              <w:end w:w="60" w:type="dxa"/>
            </w:tcMar>
          </w:tcPr>
          <w:p>
            <w:r>
              <w:rPr>
                <w:rFonts w:ascii="Arial" w:hAnsi="Arial"/>
                <w:b w:val="0"/>
                <w:color w:val="111827"/>
                <w:sz w:val="14"/>
                <w:highlight w:val="yellow"/>
              </w:rPr>
              <w:t xml:space="preserve">Admin User</w:t>
            </w:r>
          </w:p>
        </w:tc>
      </w:tr>
    </w:tbl>
    <w:p>
      <w:pPr>
        <w:spacing w:before="200" w:after="100"/>
        <w:pBdr>
          <w:bottom w:val="single" w:sz="6" w:space="4" w:color="D9E2EA"/>
        </w:pBdr>
      </w:pPr>
      <w:r>
        <w:rPr>
          <w:rFonts w:ascii="Arial" w:hAnsi="Arial"/>
          <w:b/>
          <w:i w:val="0"/>
          <w:color w:val="061826"/>
          <w:sz w:val="26"/>
        </w:rPr>
        <w:t>14. Digital Signature, Publication and Audit Trail</w:t>
      </w:r>
    </w:p>
    <w:tbl>
      <w:tblPr>
        <w:tblW w:type="auto" w:w="0"/>
        <w:jc w:val="center"/>
        <w:tblLayout w:type="autofit"/>
        <w:tblLook w:firstColumn="1" w:firstRow="1" w:lastColumn="0" w:lastRow="0" w:noHBand="0" w:noVBand="1" w:val="04A0"/>
      </w:tblPr>
      <w:tblGrid>
        <w:gridCol w:w="5328"/>
        <w:gridCol w:w="5328"/>
      </w:tblGrid>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Reporting Run ID</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 xml:space="preserve">cmrfh6s4e008iktfqc8cf5gr3</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Generated Report ID</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 xml:space="preserve">cmrfh6s4e008iktfqc8cf5gr3</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Source Snapshot ID</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 xml:space="preserve">cmrfh6s4e008iktfqc8cf5gr3</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Generated Date and Time</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 xml:space="preserve">2026-07-10T21:56:35.685Z</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Approved Date and Time</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 xml:space="preserve">2026-07-10T21:56:35.685Z</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Portal Publication Status</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Document Hash / Checksum</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 xml:space="preserve">587c77d0494ac8b5</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Watermark Status</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Archive Status</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
            </w:r>
          </w:p>
        </w:tc>
      </w:tr>
      <w:tr>
        <w:trPr>
          <w:cantSplit/>
        </w:trPr>
        <w:tc>
          <w:tcPr>
            <w:tcW w:type="dxa" w:w="5328"/>
            <w:shd w:fill="F2F5F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i w:val="0"/>
                <w:color w:val="061826"/>
                <w:sz w:val="16"/>
              </w:rPr>
              <w:t>Reissue Reference, if any</w:t>
            </w:r>
          </w:p>
        </w:tc>
        <w:tc>
          <w:tcPr>
            <w:tcW w:type="dxa" w:w="5328"/>
            <w:tcBorders>
              <w:top w:val="single" w:sz="6" w:space="0" w:color="D9E2EA"/>
              <w:left w:val="single" w:sz="6" w:space="0" w:color="D9E2EA"/>
              <w:bottom w:val="single" w:sz="6" w:space="0" w:color="D9E2EA"/>
              <w:right w:val="single" w:sz="6" w:space="0" w:color="D9E2EA"/>
              <w:insideH w:val="single" w:sz="6" w:space="0" w:color="D9E2EA"/>
              <w:insideV w:val="single" w:sz="6" w:space="0" w:color="D9E2EA"/>
            </w:tcBorders>
            <w:tcMar>
              <w:top w:w="70" w:type="dxa"/>
              <w:start w:w="90" w:type="dxa"/>
              <w:bottom w:w="70" w:type="dxa"/>
              <w:end w:w="90" w:type="dxa"/>
            </w:tcMar>
          </w:tcPr>
          <w:p>
            <w:r>
              <w:rPr>
                <w:rFonts w:ascii="Arial" w:hAnsi="Arial"/>
                <w:b w:val="0"/>
                <w:color w:val="111827"/>
                <w:sz w:val="16"/>
                <w:highlight w:val="yellow"/>
              </w:rPr>
              <w:t xml:space="preserve">cmrfh6s4e008iktfqc8cf5gr3</w:t>
            </w:r>
          </w:p>
        </w:tc>
      </w:tr>
    </w:tbl>
    <w:p>
      <w:pPr>
        <w:spacing w:after="80"/>
      </w:pPr>
    </w:p>
    <w:p>
      <w:pPr>
        <w:spacing w:after="80"/>
        <w:jc w:val="center"/>
      </w:pPr>
      <w:r>
        <w:rPr>
          <w:rFonts w:ascii="Arial" w:hAnsi="Arial"/>
          <w:b w:val="0"/>
          <w:i w:val="0"/>
          <w:color w:val="5B6770"/>
          <w:sz w:val="14"/>
        </w:rPr>
        <w:t xml:space="preserve">Confidential Asset Allocation Report | </w:t>
      </w:r>
      <w:r>
        <w:rPr>
          <w:rFonts w:ascii="Arial" w:hAnsi="Arial"/>
          <w:b w:val="0"/>
          <w:color w:val="111827"/>
          <w:sz w:val="14"/>
          <w:highlight w:val="yellow"/>
        </w:rPr>
        <w:t xml:space="preserve">Arcus Listed Portfolio</w:t>
      </w:r>
      <w:r>
        <w:rPr>
          <w:rFonts w:ascii="Arial" w:hAnsi="Arial"/>
          <w:b w:val="0"/>
          <w:i w:val="0"/>
          <w:color w:val="5B6770"/>
          <w:sz w:val="14"/>
        </w:rPr>
        <w:t xml:space="preserve"> | </w:t>
      </w:r>
      <w:r>
        <w:rPr>
          <w:rFonts w:ascii="Arial" w:hAnsi="Arial"/>
          <w:b w:val="0"/>
          <w:color w:val="111827"/>
          <w:sz w:val="14"/>
          <w:highlight w:val="yellow"/>
        </w:rPr>
        <w:t xml:space="preserve">—</w:t>
      </w:r>
      <w:r>
        <w:rPr>
          <w:rFonts w:ascii="Arial" w:hAnsi="Arial"/>
          <w:b w:val="0"/>
          <w:i w:val="0"/>
          <w:color w:val="5B6770"/>
          <w:sz w:val="14"/>
        </w:rPr>
        <w:t xml:space="preserve"> | Valid only with approved Arcus checksum and audit record.</w:t>
      </w:r>
    </w:p>
    <w:sectPr w:rsidR="00FC693F" w:rsidRPr="0006063C" w:rsidSect="00034616">
      <w:pgSz w:w="12240" w:h="15840"/>
      <w:pgMar w:top="835"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B6770"/>
        <w:sz w:val="14"/>
      </w:rPr>
      <w:t xml:space="preserve">Confidential | Asset Allocation Report | Generated from Arcus approved source data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i w:val="0"/>
        <w:color w:val="1E90FF"/>
        <w:sz w:val="24"/>
      </w:rPr>
      <w:t xml:space="preserve">■ </w:t>
    </w:r>
    <w:r>
      <w:rPr>
        <w:rFonts w:ascii="Arial" w:hAnsi="Arial"/>
        <w:b/>
        <w:i w:val="0"/>
        <w:color w:val="061826"/>
        <w:sz w:val="16"/>
      </w:rPr>
      <w:t>ARCUS REPORT TEMPLATE</w:t>
    </w:r>
    <w:r>
      <w:rPr>
        <w:rFonts w:ascii="Arial" w:hAnsi="Arial"/>
        <w:b w:val="0"/>
        <w:i w:val="0"/>
        <w:color w:val="5B6770"/>
        <w:sz w:val="16"/>
      </w:rPr>
      <w:t xml:space="preserve">    Asset Management | Asset Allocation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6182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6182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618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color w:val="111827"/>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Arcus Asset Allocation Report Template</dc:title>
  <dc:subject>Report 19 - Asset Allocation Report</dc:subject>
  <dc:creator>Arcus</dc:creator>
  <cp:keywords>Arcus, asset allocation, portfolio, mandate compliance, asset management, report template</cp:keywords>
  <dc:description>generated by python-docx</dc:description>
  <cp:lastModifiedBy/>
  <cp:revision>1</cp:revision>
  <dcterms:created xsi:type="dcterms:W3CDTF">2013-12-23T23:15:00Z</dcterms:created>
  <dcterms:modified xsi:type="dcterms:W3CDTF">2013-12-23T23:15:00Z</dcterms:modified>
  <cp:category/>
</cp:coreProperties>
</file>