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5256"/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shd w:fill="138AE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LOGO</w:t>
              <w:br/>
              <w:t>PLACEHOLDER</w:t>
            </w:r>
          </w:p>
        </w:tc>
        <w:tc>
          <w:tcPr>
            <w:tcW w:type="dxa" w:w="525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>
              <w:rPr>
                <w:rFonts w:ascii="Aptos" w:hAnsi="Aptos"/>
                <w:b/>
                <w:i w:val="0"/>
                <w:color w:val="000000"/>
                <w:sz w:val="32"/>
                <w:highlight w:val="yellow"/>
              </w:rPr>
              <w:t xml:space="preserve">Arcus Asset Management</w:t>
            </w:r>
          </w:p>
          <w:p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Registered Office: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Harare, Zimbabwe</w:t>
            </w:r>
          </w:p>
          <w:p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Company Registration Number: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Arcus AM (Pvt) Ltd</w:t>
            </w:r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 | SECZIM Licence Number: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—</w:t>
            </w:r>
          </w:p>
          <w:p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Email: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operations@arcus.co.zw</w:t>
            </w:r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 | Telephone: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+263</w:t>
            </w:r>
            <w:r>
              <w:rPr>
                <w:rFonts w:ascii="Aptos" w:hAnsi="Aptos"/>
                <w:b w:val="0"/>
                <w:i w:val="0"/>
                <w:color w:val="4B5563"/>
                <w:sz w:val="17"/>
              </w:rPr>
              <w:t xml:space="preserve"> | Website: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https://arcus.co.zw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38AEF"/>
            <w:tcBorders>
              <w:top w:val="single" w:sz="0" w:space="0" w:color="138AEF"/>
              <w:left w:val="single" w:sz="0" w:space="0" w:color="138AEF"/>
              <w:bottom w:val="single" w:sz="0" w:space="0" w:color="138AEF"/>
              <w:right w:val="single" w:sz="0" w:space="0" w:color="138AEF"/>
            </w:tcBorders>
          </w:tcPr>
          <w:p/>
        </w:tc>
      </w:tr>
    </w:tbl>
    <w:p>
      <w:pPr>
        <w:spacing w:after="240"/>
      </w:pPr>
    </w:p>
    <w:p>
      <w:pPr>
        <w:spacing w:after="20"/>
        <w:jc w:val="center"/>
      </w:pPr>
      <w:r>
        <w:rPr>
          <w:rFonts w:ascii="Aptos" w:hAnsi="Aptos"/>
          <w:b/>
          <w:i w:val="0"/>
          <w:color w:val="071A2F"/>
          <w:sz w:val="48"/>
        </w:rPr>
        <w:t>AUM / FUM MOVEMENT REPORT</w:t>
      </w:r>
    </w:p>
    <w:p>
      <w:pPr>
        <w:spacing w:after="160"/>
        <w:jc w:val="center"/>
      </w:pPr>
      <w:r>
        <w:rPr>
          <w:rFonts w:ascii="Aptos" w:hAnsi="Aptos"/>
          <w:b/>
          <w:i w:val="0"/>
          <w:color w:val="138AEF"/>
          <w:sz w:val="24"/>
        </w:rPr>
        <w:t>Assets Under Management / Funds Under Management Movement Schedule</w:t>
      </w:r>
    </w:p>
    <w:p>
      <w:pPr>
        <w:spacing w:after="240"/>
        <w:jc w:val="center"/>
      </w:pPr>
      <w:r>
        <w:rPr>
          <w:rFonts w:ascii="Aptos" w:hAnsi="Aptos"/>
          <w:b/>
          <w:i w:val="0"/>
          <w:color w:val="071A2F"/>
          <w:sz w:val="22"/>
        </w:rPr>
        <w:t xml:space="preserve">For the period ended </w:t>
      </w:r>
      <w:r>
        <w:rPr>
          <w:rFonts w:ascii="Aptos" w:hAnsi="Aptos"/>
          <w:b/>
          <w:i w:val="0"/>
          <w:color w:val="000000"/>
          <w:sz w:val="22"/>
          <w:highlight w:val="yellow"/>
        </w:rPr>
        <w:t xml:space="preserve">2026-03-31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31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3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Asset Manager / Entity</w:t>
            </w:r>
          </w:p>
        </w:tc>
        <w:tc>
          <w:tcPr>
            <w:tcW w:type="dxa" w:w="63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 xml:space="preserve">Arcus Asset Management</w:t>
            </w:r>
          </w:p>
        </w:tc>
      </w:tr>
      <w:tr>
        <w:tc>
          <w:tcPr>
            <w:tcW w:type="dxa" w:w="33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Report Recipient</w:t>
            </w:r>
          </w:p>
        </w:tc>
        <w:tc>
          <w:tcPr>
            <w:tcW w:type="dxa" w:w="63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 xml:space="preserve">Admin User</w:t>
            </w:r>
          </w:p>
        </w:tc>
      </w:tr>
      <w:tr>
        <w:tc>
          <w:tcPr>
            <w:tcW w:type="dxa" w:w="33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Reporting Period</w:t>
            </w:r>
          </w:p>
        </w:tc>
        <w:tc>
          <w:tcPr>
            <w:tcW w:type="dxa" w:w="63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 xml:space="preserve">2026-01-01</w:t>
            </w:r>
            <w:r>
              <w:rPr>
                <w:rFonts w:ascii="Aptos" w:hAnsi="Aptos"/>
                <w:b w:val="0"/>
                <w:i w:val="0"/>
                <w:sz w:val="18"/>
              </w:rPr>
              <w:t xml:space="preserve"> to </w:t>
            </w:r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 xml:space="preserve">2026-03-31</w:t>
            </w:r>
          </w:p>
        </w:tc>
      </w:tr>
      <w:tr>
        <w:tc>
          <w:tcPr>
            <w:tcW w:type="dxa" w:w="33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Base Currency</w:t>
            </w:r>
          </w:p>
        </w:tc>
        <w:tc>
          <w:tcPr>
            <w:tcW w:type="dxa" w:w="63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 xml:space="preserve">USD</w:t>
            </w:r>
          </w:p>
        </w:tc>
      </w:tr>
      <w:tr>
        <w:tc>
          <w:tcPr>
            <w:tcW w:type="dxa" w:w="33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Reporting Currency</w:t>
            </w:r>
          </w:p>
        </w:tc>
        <w:tc>
          <w:tcPr>
            <w:tcW w:type="dxa" w:w="63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 xml:space="preserve">USD</w:t>
            </w:r>
          </w:p>
        </w:tc>
      </w:tr>
      <w:tr>
        <w:tc>
          <w:tcPr>
            <w:tcW w:type="dxa" w:w="33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Report Run ID</w:t>
            </w:r>
          </w:p>
        </w:tc>
        <w:tc>
          <w:tcPr>
            <w:tcW w:type="dxa" w:w="63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 xml:space="preserve">cmrfh70qj0093ktfq5za2ttsl</w:t>
            </w:r>
          </w:p>
        </w:tc>
      </w:tr>
      <w:tr>
        <w:tc>
          <w:tcPr>
            <w:tcW w:type="dxa" w:w="33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Document Status</w:t>
            </w:r>
          </w:p>
        </w:tc>
        <w:tc>
          <w:tcPr>
            <w:tcW w:type="dxa" w:w="63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 xml:space="preserve">DRAFT</w:t>
            </w:r>
          </w:p>
        </w:tc>
      </w:tr>
      <w:tr>
        <w:tc>
          <w:tcPr>
            <w:tcW w:type="dxa" w:w="33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8"/>
              </w:rPr>
              <w:t>Version</w:t>
            </w:r>
          </w:p>
        </w:tc>
        <w:tc>
          <w:tcPr>
            <w:tcW w:type="dxa" w:w="63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8"/>
                <w:highlight w:val="yellow"/>
              </w:rPr>
              <w:t xml:space="preserve">1.0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This template is designed for system-generated AUM/FUM movement reporting. Replace only yellow-highlighted placeholders. Blue instruction boxes are drafting guidance and should be removed before final approval or publication.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1. Template Control and Editing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Yellow highlighted fields represent editable or system-populated data points. Do not edit the unhighlighted legal, control and approval wording unless approved by the compliance officer or authorised officer.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Marker</w:t>
            </w:r>
          </w:p>
        </w:tc>
        <w:tc>
          <w:tcPr>
            <w:tcW w:type="dxa" w:w="403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345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Action Required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Yellow highlighted placeholders</w:t>
            </w:r>
          </w:p>
        </w:tc>
        <w:tc>
          <w:tcPr>
            <w:tcW w:type="dxa" w:w="403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System value, editable input, or report-specific data field</w:t>
            </w:r>
          </w:p>
        </w:tc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Replace with approved Arcus data or authorised commentary.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Blue instruction boxes</w:t>
            </w:r>
          </w:p>
        </w:tc>
        <w:tc>
          <w:tcPr>
            <w:tcW w:type="dxa" w:w="403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Drafting guidance for preparers and reviewers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Delete before final issue unless retained as internal working notes.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Plain text</w:t>
            </w:r>
          </w:p>
        </w:tc>
        <w:tc>
          <w:tcPr>
            <w:tcW w:type="dxa" w:w="403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Standard report wording and controls</w:t>
            </w:r>
          </w:p>
        </w:tc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Leave unchanged unless legally or commercially approved.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2. Confidentiality and Reliance Notice</w:t>
      </w:r>
    </w:p>
    <w:p>
      <w:pPr>
        <w:spacing w:after="80"/>
      </w:pPr>
      <w:r>
        <w:rPr>
          <w:rFonts w:ascii="Aptos" w:hAnsi="Aptos"/>
          <w:b w:val="0"/>
          <w:i w:val="0"/>
          <w:sz w:val="19"/>
        </w:rPr>
        <w:t xml:space="preserve">This AUM / FUM Movement Report is confidential and is prepared solely for </w:t>
      </w:r>
      <w:r>
        <w:rPr>
          <w:rFonts w:ascii="Aptos" w:hAnsi="Aptos"/>
          <w:b/>
          <w:i w:val="0"/>
          <w:color w:val="000000"/>
          <w:sz w:val="19"/>
          <w:highlight w:val="yellow"/>
        </w:rPr>
        <w:t xml:space="preserve">Admin User</w:t>
      </w:r>
      <w:r>
        <w:rPr>
          <w:rFonts w:ascii="Aptos" w:hAnsi="Aptos"/>
          <w:b w:val="0"/>
          <w:i w:val="0"/>
          <w:sz w:val="19"/>
        </w:rPr>
        <w:t xml:space="preserve"> and authorised internal, audit, compliance, regulatory or governance users of </w:t>
      </w:r>
      <w:r>
        <w:rPr>
          <w:rFonts w:ascii="Aptos" w:hAnsi="Aptos"/>
          <w:b/>
          <w:i w:val="0"/>
          <w:color w:val="000000"/>
          <w:sz w:val="19"/>
          <w:highlight w:val="yellow"/>
        </w:rPr>
        <w:t xml:space="preserve">Arcus Asset Management</w:t>
      </w:r>
      <w:r>
        <w:rPr>
          <w:rFonts w:ascii="Aptos" w:hAnsi="Aptos"/>
          <w:b w:val="0"/>
          <w:i w:val="0"/>
          <w:sz w:val="19"/>
        </w:rPr>
        <w:t>. It may not be copied, distributed or relied upon by any unauthorised third party without prior written consent, except where disclosure is required by law, regulation, court order or a competent authority.</w:t>
      </w:r>
    </w:p>
    <w:p>
      <w:pPr>
        <w:spacing w:after="80"/>
      </w:pPr>
      <w:r>
        <w:rPr>
          <w:rFonts w:ascii="Aptos" w:hAnsi="Aptos"/>
          <w:b w:val="0"/>
          <w:i w:val="0"/>
          <w:sz w:val="19"/>
        </w:rPr>
        <w:t>The report is prepared from approved portfolio valuation, client account, holdings, trade, cash, income, fee and FX records as maintained in Arcus. It is a management and regulatory-support schedule and does not constitute investment advice, a client mandate amendment, a tax opinion or a standalone statutory return unless expressly designated as such by an authorised officer.</w:t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3. Report Purpose and Source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Confirm the source module, valuation date, FX basis and approval status before finalising the report. A report should not be approved where prices, NAV, reconciliations or FX rates remain unapproved.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Control Area</w:t>
            </w:r>
          </w:p>
        </w:tc>
        <w:tc>
          <w:tcPr>
            <w:tcW w:type="dxa" w:w="720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 Detail</w:t>
            </w:r>
          </w:p>
        </w:tc>
      </w:tr>
      <w:tr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Purpose</w:t>
            </w:r>
          </w:p>
        </w:tc>
        <w:tc>
          <w:tcPr>
            <w:tcW w:type="dxa" w:w="72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 xml:space="preserve">To show opening FUM/AUM, client inflows, client outflows, market gains/losses, FX movements, transfers, corrections and closing FUM/AUM for </w:t>
            </w:r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—</w:t>
            </w:r>
            <w:r>
              <w:rPr>
                <w:rFonts w:ascii="Aptos" w:hAnsi="Aptos"/>
                <w:b w:val="0"/>
                <w:i w:val="0"/>
                <w:sz w:val="17"/>
              </w:rPr>
              <w:t>.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Primary Source Module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Stock Price Collector / Portfolio Valuation module</w:t>
            </w:r>
          </w:p>
        </w:tc>
      </w:tr>
      <w:tr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Supporting Source Modules</w:t>
            </w:r>
          </w:p>
        </w:tc>
        <w:tc>
          <w:tcPr>
            <w:tcW w:type="dxa" w:w="72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7"/>
              </w:rPr>
              <w:t>Accounting, Client Accounts, Cashbook, Trade Blotter, Income Events, Fees, FX Rates and Reconciliation Items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Valuation Date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Data Snapshot Time</w:t>
            </w:r>
          </w:p>
        </w:tc>
        <w:tc>
          <w:tcPr>
            <w:tcW w:type="dxa" w:w="72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2026-07-10T21:56:46.885Z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Approved Price Source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—</w:t>
            </w:r>
          </w:p>
        </w:tc>
      </w:tr>
      <w:tr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Approved FX Rate Source</w:t>
            </w:r>
          </w:p>
        </w:tc>
        <w:tc>
          <w:tcPr>
            <w:tcW w:type="dxa" w:w="72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ZIMRATE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7"/>
              </w:rPr>
              <w:t>Checker Approver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7"/>
                <w:highlight w:val="yellow"/>
              </w:rPr>
              <w:t xml:space="preserve">Admin User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4. Executive Movement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Use this section to provide a concise explanation of the main drivers of FUM/AUM movement: net flows, market performance, currency translation, new mandates, withdrawals and reclassifications.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Movement Metric</w:t>
            </w:r>
          </w:p>
        </w:tc>
        <w:tc>
          <w:tcPr>
            <w:tcW w:type="dxa" w:w="180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Current Period</w:t>
            </w:r>
          </w:p>
        </w:tc>
        <w:tc>
          <w:tcPr>
            <w:tcW w:type="dxa" w:w="180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Prior Period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Change</w:t>
            </w:r>
          </w:p>
        </w:tc>
        <w:tc>
          <w:tcPr>
            <w:tcW w:type="dxa" w:w="316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Commentary</w:t>
            </w:r>
          </w:p>
        </w:tc>
      </w:tr>
      <w:tr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Opening FUM / AUM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Gross Inflows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Gross Outflows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Net Client Flows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Market Gains / Losses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FX Translation Movement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Transfers / Reclassifications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Closing FUM / AUM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5. AUM / FUM Bridge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74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Bridge Component</w:t>
            </w:r>
          </w:p>
        </w:tc>
        <w:tc>
          <w:tcPr>
            <w:tcW w:type="dxa" w:w="187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Amount</w:t>
            </w:r>
          </w:p>
        </w:tc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% of Opening FUM/AUM</w:t>
            </w:r>
          </w:p>
        </w:tc>
        <w:tc>
          <w:tcPr>
            <w:tcW w:type="dxa" w:w="30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Prepared Comment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 xml:space="preserve">Opening FUM / AUM as at </w:t>
            </w:r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2026-01-01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5"/>
              </w:rPr>
              <w:t>100.00%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Add: New subscriptions / new client mandates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2026-07-10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0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Add: Additional contributions / top-ups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Less: Redemptions / withdrawals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0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Less: Account closures / terminated mandates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2026-07-10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 / Less: Internal transfers and reclassifications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0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 / Less: Market value gains / losses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 / Less: Income accruals and distributions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0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 / Less: FX translation movement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Add / Less: Corrections and prior-period adjustments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0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 xml:space="preserve">Closing FUM / AUM as at </w:t>
            </w:r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2026-03-31</w:t>
            </w:r>
          </w:p>
        </w:tc>
        <w:tc>
          <w:tcPr>
            <w:tcW w:type="dxa" w:w="187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0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6. Movement by Client / Portfolio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Populate this table from approved client account and portfolio valuation records. Use one row per material client portfolio, mandate, fund, scheme or sub-portfolio. Add rows as needed.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Client / Portfolio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Opening FUM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Inflows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Outflows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Market Gain / Loss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FX Movement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Closing FUM</w:t>
            </w:r>
          </w:p>
        </w:tc>
        <w:tc>
          <w:tcPr>
            <w:tcW w:type="dxa" w:w="93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Movement %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Status / Note</w:t>
            </w:r>
          </w:p>
        </w:tc>
      </w:tr>
      <w:tr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9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9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Total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9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Pass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7. Movement by Client Type / Mandate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201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Client / Mandate Type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Opening FUM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Net Flows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Investment Return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FX Movement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Closing FUM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% of Closing FUM</w:t>
            </w:r>
          </w:p>
        </w:tc>
        <w:tc>
          <w:tcPr>
            <w:tcW w:type="dxa" w:w="158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Commentary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Discretionary portfolios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Advisory portfolios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Collective investment schemes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Pension mandates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Institutional mandates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Retail / individual clients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01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Total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3"/>
              </w:rPr>
              <w:t>100.00%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8. Detailed AUM / FUM Movement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This landscape schedule is for the full movement extract. Add rows as required. Values should reconcile to the summary bridge and the approved portfolio valuation snapshot.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Portfolio ID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Client / Fund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Mandate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Currency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Opening FUM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Subscriptions / Inflows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Redemptions / Outflows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Income / Distributions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Market Gain / Loss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FX Movement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Corrections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Closing FUM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Reconciled?</w:t>
            </w:r>
          </w:p>
        </w:tc>
        <w:tc>
          <w:tcPr>
            <w:tcW w:type="dxa" w:w="1039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1"/>
              </w:rPr>
              <w:t>Notes</w:t>
            </w:r>
          </w:p>
        </w:tc>
      </w:tr>
      <w:tr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cmrfh70qj0093ktfq5za2ttsl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2026-07-10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</w:tr>
      <w:tr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cmrfh70qj0093ktfq5za2ttsl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2026-07-10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</w:tr>
      <w:tr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cmrfh70qj0093ktfq5za2ttsl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2026-07-10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</w:tr>
      <w:tr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cmrfh70qj0093ktfq5za2ttsl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2026-07-10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</w:tr>
      <w:tr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cmrfh70qj0093ktfq5za2ttsl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2026-07-10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</w:tr>
      <w:tr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cmrfh70qj0093ktfq5za2ttsl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2026-07-10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</w:tr>
      <w:tr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1"/>
              </w:rPr>
              <w:t>Total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USD 0.00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Pass</w:t>
            </w:r>
          </w:p>
        </w:tc>
        <w:tc>
          <w:tcPr>
            <w:tcW w:type="dxa" w:w="1039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1"/>
                <w:highlight w:val="yellow"/>
              </w:rPr>
              <w:t xml:space="preserve">—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9. Currency Split and FX Translation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Currency split should show USD, ZiG/ZWG and consolidated reporting views where applicable. FX rates must be approved before the report is locked.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Currency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Opening FUM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Inflows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Outflows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Market Movement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FX Translation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Closing FUM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Approved FX Rate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Approval Date</w:t>
            </w:r>
          </w:p>
        </w:tc>
      </w:tr>
      <w:tr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USD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26.9181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ZiG / ZWG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 xml:space="preserve">Other currency: </w:t>
            </w:r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Consolidated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10. Movement by Asset Class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80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Asset Class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Opening Value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Net Flows</w:t>
            </w:r>
          </w:p>
        </w:tc>
        <w:tc>
          <w:tcPr>
            <w:tcW w:type="dxa" w:w="122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Market Gain / Loss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Income Effect</w:t>
            </w:r>
          </w:p>
        </w:tc>
        <w:tc>
          <w:tcPr>
            <w:tcW w:type="dxa" w:w="100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FX Effect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Closing Value</w:t>
            </w:r>
          </w:p>
        </w:tc>
        <w:tc>
          <w:tcPr>
            <w:tcW w:type="dxa" w:w="10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% of Closing FUM</w:t>
            </w:r>
          </w:p>
        </w:tc>
        <w:tc>
          <w:tcPr>
            <w:tcW w:type="dxa" w:w="158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Commentary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Cash and cash equivalents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Money market instruments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Listed equities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Bonds / fixed income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Property / REITs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Unquoted / alternative investments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180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3"/>
              </w:rPr>
              <w:t>Total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22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0.00%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3"/>
              </w:rPr>
              <w:t>100.00%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Per approved investment operations policy and valuation records.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11. Flow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44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Flow Category</w:t>
            </w:r>
          </w:p>
        </w:tc>
        <w:tc>
          <w:tcPr>
            <w:tcW w:type="dxa" w:w="158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Number of Transactions</w:t>
            </w:r>
          </w:p>
        </w:tc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Gross Amount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% of Opening FUM</w:t>
            </w:r>
          </w:p>
        </w:tc>
        <w:tc>
          <w:tcPr>
            <w:tcW w:type="dxa" w:w="316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Commentary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New clients / new mandates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Existing client top-ups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Redemptions / withdrawals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Terminated mandates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2026-07-10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Internal transfers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16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Net flows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USD 0.00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0.00%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Per approved investment operations policy and valuation records.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12. Reconciliation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Every movement report should reconcile to approved closing portfolio valuations, client statements, accounting records, bank/custodian confirmations and the regulatory reporting pack where applicable.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8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Reconciliation Item</w:t>
            </w:r>
          </w:p>
        </w:tc>
        <w:tc>
          <w:tcPr>
            <w:tcW w:type="dxa" w:w="28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Expected Control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Variance</w:t>
            </w:r>
          </w:p>
        </w:tc>
        <w:tc>
          <w:tcPr>
            <w:tcW w:type="dxa" w:w="244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Reviewer Note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Opening FUM agrees to prior approved closing FUM</w:t>
            </w:r>
          </w:p>
        </w:tc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Prior period locked report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Inflows agree to cashbook / bank / client transaction records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Cashbook and client account reconciliation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Outflows agree to payments / redemptions / mandate termination records</w:t>
            </w:r>
          </w:p>
        </w:tc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Cashbook and approvals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Market gains/losses agree to valuation engine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Approved portfolio valuation snapshot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FX movements agree to approved FX rates</w:t>
            </w:r>
          </w:p>
        </w:tc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Approved FX rate table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Closing FUM agrees to client statement population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Published/approved client statements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AUM/FUM schedule agrees to SECZIM support pack, where applicable</w:t>
            </w:r>
          </w:p>
        </w:tc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4"/>
              </w:rPr>
              <w:t>Regulatory pack evidence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13. Regulatory and Management Support Notes</w:t>
      </w:r>
    </w:p>
    <w:p>
      <w:pPr>
        <w:spacing w:after="80"/>
      </w:pPr>
      <w:r>
        <w:rPr>
          <w:rFonts w:ascii="Aptos" w:hAnsi="Aptos"/>
          <w:b w:val="0"/>
          <w:i w:val="0"/>
          <w:sz w:val="18"/>
        </w:rPr>
        <w:t xml:space="preserve">Where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 xml:space="preserve">Arcus Asset Management</w:t>
      </w:r>
      <w:r>
        <w:rPr>
          <w:rFonts w:ascii="Aptos" w:hAnsi="Aptos"/>
          <w:b w:val="0"/>
          <w:i w:val="0"/>
          <w:sz w:val="18"/>
        </w:rPr>
        <w:t xml:space="preserve"> is licensed or otherwise required to prepare regulatory support schedules, this report supports the movement of client assets, FUM/AUM, management accounts, prudential schedules and other evidence packs. The report should be reviewed together with the applicable SECZIM, CIS, pension mandate or internal governance pack, as relevant.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88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Support Area</w:t>
            </w:r>
          </w:p>
        </w:tc>
        <w:tc>
          <w:tcPr>
            <w:tcW w:type="dxa" w:w="129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Applicable?</w:t>
            </w:r>
          </w:p>
        </w:tc>
        <w:tc>
          <w:tcPr>
            <w:tcW w:type="dxa" w:w="374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Required Evidence</w:t>
            </w:r>
          </w:p>
        </w:tc>
        <w:tc>
          <w:tcPr>
            <w:tcW w:type="dxa" w:w="230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Prepared / Attached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SECZIM quarterly prudential support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5"/>
              </w:rPr>
              <w:t>FUM/AUM movement schedule and closing client assets support</w:t>
            </w:r>
          </w:p>
        </w:tc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CIS / unit trust monthly reporting support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5"/>
              </w:rPr>
              <w:t>Subscriptions, redemptions, NAV, units and custodian/trustee reconciliation</w:t>
            </w:r>
          </w:p>
        </w:tc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288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Pension mandate reporting support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  <w:tc>
          <w:tcPr>
            <w:tcW w:type="dxa" w:w="37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5"/>
              </w:rPr>
              <w:t>Mandate performance, asset allocation and trustee pack support</w:t>
            </w:r>
          </w:p>
        </w:tc>
        <w:tc>
          <w:tcPr>
            <w:tcW w:type="dxa" w:w="230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—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5"/>
              </w:rPr>
              <w:t>Management accounts support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 w:val="0"/>
                <w:i w:val="0"/>
                <w:sz w:val="15"/>
              </w:rPr>
              <w:t>Revenue, fees, client assets and balance sheet support</w:t>
            </w:r>
          </w:p>
        </w:tc>
        <w:tc>
          <w:tcPr>
            <w:tcW w:type="dxa" w:w="230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5"/>
                <w:highlight w:val="yellow"/>
              </w:rPr>
              <w:t xml:space="preserve">0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14. Exceptions, Adjustments and Overrides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Exception / Adjustment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Portfolio / Client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Amount</w:t>
            </w:r>
          </w:p>
        </w:tc>
        <w:tc>
          <w:tcPr>
            <w:tcW w:type="dxa" w:w="158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Root Cause</w:t>
            </w:r>
          </w:p>
        </w:tc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Resolution Required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Owner</w:t>
            </w:r>
          </w:p>
        </w:tc>
        <w:tc>
          <w:tcPr>
            <w:tcW w:type="dxa" w:w="100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Due Date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3"/>
              </w:rPr>
              <w:t>Approval Status</w:t>
            </w:r>
          </w:p>
        </w:tc>
      </w:tr>
      <w:tr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8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Pass</w:t>
            </w:r>
          </w:p>
        </w:tc>
      </w:tr>
      <w:tr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USD 0.00</w:t>
            </w:r>
          </w:p>
        </w:tc>
        <w:tc>
          <w:tcPr>
            <w:tcW w:type="dxa" w:w="158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—</w:t>
            </w:r>
          </w:p>
        </w:tc>
        <w:tc>
          <w:tcPr>
            <w:tcW w:type="dxa" w:w="100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2026-07-10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3"/>
                <w:highlight w:val="yellow"/>
              </w:rPr>
              <w:t xml:space="preserve">Pass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15. Supporting Documents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List all evidence files attached to the reporting run. Every material movement should be traceable to approved source documents and system records.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244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Document / Evidence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728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File Reference</w:t>
            </w:r>
          </w:p>
        </w:tc>
        <w:tc>
          <w:tcPr>
            <w:tcW w:type="dxa" w:w="129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Owner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129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Reviewed By</w:t>
            </w:r>
          </w:p>
        </w:tc>
        <w:tc>
          <w:tcPr>
            <w:tcW w:type="dxa" w:w="115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Date Reviewed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Approved portfolio valuation snapshot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cmrfh70qj0093ktfq5za2ttsl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Client inflow / subscription records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cmrfh70qj0093ktfq5za2ttsl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Client redemption / withdrawal records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cmrfh70qj0093ktfq5za2ttsl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Bank / custodian confirmations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cmrfh70qj0093ktfq5za2ttsl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244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Approved FX rate table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cmrfh70qj0093ktfq5za2ttsl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Pass</w:t>
            </w:r>
          </w:p>
        </w:tc>
        <w:tc>
          <w:tcPr>
            <w:tcW w:type="dxa" w:w="129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Reconciliation exception report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728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cmrfh70qj0093ktfq5za2ttsl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Review required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—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2026-07-10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16. Management Commentary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DEEFF"/>
            <w:tcBorders>
              <w:top w:val="single" w:sz="6" w:space="0" w:color="A8C8E8"/>
              <w:left w:val="single" w:sz="6" w:space="0" w:color="A8C8E8"/>
              <w:bottom w:val="single" w:sz="6" w:space="0" w:color="A8C8E8"/>
              <w:right w:val="single" w:sz="6" w:space="0" w:color="A8C8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071A2F"/>
                <w:sz w:val="18"/>
              </w:rPr>
              <w:t xml:space="preserve">Instruction: </w:t>
            </w:r>
            <w:r>
              <w:rPr>
                <w:rFonts w:ascii="Aptos" w:hAnsi="Aptos"/>
                <w:b w:val="0"/>
                <w:i w:val="0"/>
                <w:color w:val="071A2F"/>
                <w:sz w:val="18"/>
              </w:rPr>
              <w:t>Use clear business language to explain material movement drivers. Commentary should be factual, balanced and traceable to data in this report.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Overall movement explanation: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 xml:space="preserve">Per approved investment operations policy and valuation records.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Material inflow drivers: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 xml:space="preserve">Per approved investment operations policy and valuation records.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Material outflow drivers: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 xml:space="preserve">Per approved investment operations policy and valuation records.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Market movement explanation: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 xml:space="preserve">Per approved investment operations policy and valuation records.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FX translation explanation: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 xml:space="preserve">Per approved investment operations policy and valuation records.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Client / mandate mix changes: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 xml:space="preserve">2026-07-10</w:t>
      </w:r>
    </w:p>
    <w:p>
      <w:pPr>
        <w:spacing w:after="20"/>
      </w:pPr>
      <w:r>
        <w:rPr>
          <w:rFonts w:ascii="Aptos" w:hAnsi="Aptos"/>
          <w:b/>
          <w:i w:val="0"/>
          <w:color w:val="071A2F"/>
          <w:sz w:val="18"/>
        </w:rPr>
        <w:t xml:space="preserve">Risks or concerns for management attention: </w:t>
      </w:r>
      <w:r>
        <w:rPr>
          <w:rFonts w:ascii="Aptos" w:hAnsi="Aptos"/>
          <w:b/>
          <w:i w:val="0"/>
          <w:color w:val="000000"/>
          <w:sz w:val="18"/>
          <w:highlight w:val="yellow"/>
        </w:rPr>
        <w:t xml:space="preserve">Per approved investment operations policy and valuation records.</w:t>
      </w:r>
    </w:p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17. Maker-Checker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6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Role</w:t>
            </w:r>
          </w:p>
        </w:tc>
        <w:tc>
          <w:tcPr>
            <w:tcW w:type="dxa" w:w="194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Name</w:t>
            </w:r>
          </w:p>
        </w:tc>
        <w:tc>
          <w:tcPr>
            <w:tcW w:type="dxa" w:w="1944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Designation</w:t>
            </w:r>
          </w:p>
        </w:tc>
        <w:tc>
          <w:tcPr>
            <w:tcW w:type="dxa" w:w="1440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Date</w:t>
            </w:r>
          </w:p>
        </w:tc>
        <w:tc>
          <w:tcPr>
            <w:tcW w:type="dxa" w:w="273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Signature / Digital Approval</w:t>
            </w:r>
          </w:p>
        </w:tc>
      </w:tr>
      <w:tr>
        <w:tc>
          <w:tcPr>
            <w:tcW w:type="dxa" w:w="216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Prepared By - Maker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Investment Operations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2026-07-10</w:t>
            </w:r>
          </w:p>
        </w:tc>
        <w:tc>
          <w:tcPr>
            <w:tcW w:type="dxa" w:w="27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Digitally prepared — Admin User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Reviewed By - Operations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2026-07-10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Admin User</w:t>
            </w:r>
          </w:p>
        </w:tc>
      </w:tr>
      <w:tr>
        <w:tc>
          <w:tcPr>
            <w:tcW w:type="dxa" w:w="216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Reviewed By - Compliance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2026-07-10</w:t>
            </w:r>
          </w:p>
        </w:tc>
        <w:tc>
          <w:tcPr>
            <w:tcW w:type="dxa" w:w="27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Admin User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Approved By - Checker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Investment Operations</w:t>
            </w:r>
          </w:p>
        </w:tc>
        <w:tc>
          <w:tcPr>
            <w:tcW w:type="dxa" w:w="1440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2026-07-10</w:t>
            </w:r>
          </w:p>
        </w:tc>
        <w:tc>
          <w:tcPr>
            <w:tcW w:type="dxa" w:w="273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Checked — Admin User</w:t>
            </w:r>
          </w:p>
        </w:tc>
      </w:tr>
      <w:tr>
        <w:tc>
          <w:tcPr>
            <w:tcW w:type="dxa" w:w="216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4"/>
              </w:rPr>
              <w:t>Authorised Release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1944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Admin User</w:t>
            </w:r>
          </w:p>
        </w:tc>
        <w:tc>
          <w:tcPr>
            <w:tcW w:type="dxa" w:w="1440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2026-07-10</w:t>
            </w:r>
          </w:p>
        </w:tc>
        <w:tc>
          <w:tcPr>
            <w:tcW w:type="dxa" w:w="273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4"/>
                <w:highlight w:val="yellow"/>
              </w:rPr>
              <w:t xml:space="preserve">Admin User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071A2F"/>
          <w:sz w:val="36"/>
        </w:rPr>
        <w:t>18. Audit and System Control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Control Field</w:t>
            </w:r>
          </w:p>
        </w:tc>
        <w:tc>
          <w:tcPr>
            <w:tcW w:type="dxa" w:w="6912"/>
            <w:shd w:fill="071A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Reporting Run ID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cmrfh70qj0093ktfq5za2ttsl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Generated Report ID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cmrfh70qj0093ktfq5za2ttsl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Source Data Snapshot ID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cmrfh5qik005yktfqpl41uqv7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Valuation Snapshot ID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cmrfh5qik005yktfqpl41uqv7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Report Version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1.0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Generated By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Admin User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Generated Date and Time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2026-07-10T21:56:46.851Z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Approved By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—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Approval Date and Time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2026-07-10T21:56:46.851Z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Published To Portal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—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Portal Publication Date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2026-07-10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Document Hash / Checksum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23e301e323628376</w:t>
            </w:r>
          </w:p>
        </w:tc>
      </w:tr>
      <w:tr>
        <w:tc>
          <w:tcPr>
            <w:tcW w:type="dxa" w:w="3456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Archive Status</w:t>
            </w:r>
          </w:p>
        </w:tc>
        <w:tc>
          <w:tcPr>
            <w:tcW w:type="dxa" w:w="6912"/>
            <w:shd w:fill="F3F6F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DRAFT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sz w:val="16"/>
              </w:rPr>
              <w:t>Reissue Reference, if any</w:t>
            </w:r>
          </w:p>
        </w:tc>
        <w:tc>
          <w:tcPr>
            <w:tcW w:type="dxa" w:w="6912"/>
            <w:shd w:fill="FFFFF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16"/>
                <w:highlight w:val="yellow"/>
              </w:rPr>
              <w:t xml:space="preserve">cmrfh70qj0093ktfq5za2ttsl</w:t>
            </w:r>
          </w:p>
        </w:tc>
      </w:tr>
    </w:tbl>
    <w:p>
      <w:pPr>
        <w:spacing w:after="80"/>
        <w:jc w:val="center"/>
      </w:pPr>
      <w:r>
        <w:rPr>
          <w:rFonts w:ascii="Aptos" w:hAnsi="Aptos"/>
          <w:b/>
          <w:i w:val="0"/>
          <w:color w:val="071A2F"/>
          <w:sz w:val="19"/>
        </w:rPr>
        <w:t>End of Report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B5563"/>
        <w:sz w:val="16"/>
        <w:highlight w:val="yellow"/>
      </w:rPr>
      <w:t xml:space="preserve">Confidential | Arcus Asset Management | — | System-generated from Arcus approved source data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B5563"/>
        <w:sz w:val="16"/>
        <w:highlight w:val="yellow"/>
      </w:rPr>
      <w:t xml:space="preserve">Confidential | Arcus Asset Management | — | System-generated from Arcus approved source data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B5563"/>
        <w:sz w:val="16"/>
        <w:highlight w:val="yellow"/>
      </w:rPr>
      <w:t xml:space="preserve">Confidential | Arcus Asset Management | — | System-generated from Arcus approved source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472"/>
      <w:gridCol w:w="4608"/>
    </w:tblGrid>
    <w:tr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r>
            <w:rPr>
              <w:rFonts w:ascii="Aptos" w:hAnsi="Aptos"/>
              <w:b/>
              <w:color w:val="071A2F"/>
              <w:sz w:val="16"/>
            </w:rPr>
            <w:t>■  ARCUS REPORTING TEMPLATE</w:t>
          </w:r>
        </w:p>
      </w:tc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pPr>
            <w:jc w:val="right"/>
          </w:pPr>
          <w:r>
            <w:rPr>
              <w:rFonts w:ascii="Aptos" w:hAnsi="Aptos"/>
              <w:color w:val="4B5563"/>
              <w:sz w:val="16"/>
            </w:rPr>
            <w:t>AUM / FUM Movement Report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472"/>
      <w:gridCol w:w="4608"/>
    </w:tblGrid>
    <w:tr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r>
            <w:rPr>
              <w:rFonts w:ascii="Aptos" w:hAnsi="Aptos"/>
              <w:b/>
              <w:color w:val="071A2F"/>
              <w:sz w:val="16"/>
            </w:rPr>
            <w:t>■  ARCUS REPORTING TEMPLATE</w:t>
          </w:r>
        </w:p>
      </w:tc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pPr>
            <w:jc w:val="right"/>
          </w:pPr>
          <w:r>
            <w:rPr>
              <w:rFonts w:ascii="Aptos" w:hAnsi="Aptos"/>
              <w:color w:val="4B5563"/>
              <w:sz w:val="16"/>
            </w:rPr>
            <w:t>AUM / FUM Movement Report</w:t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472"/>
      <w:gridCol w:w="4608"/>
    </w:tblGrid>
    <w:tr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r>
            <w:rPr>
              <w:rFonts w:ascii="Aptos" w:hAnsi="Aptos"/>
              <w:b/>
              <w:color w:val="071A2F"/>
              <w:sz w:val="16"/>
            </w:rPr>
            <w:t>■  ARCUS REPORTING TEMPLATE</w:t>
          </w:r>
        </w:p>
      </w:tc>
      <w:tc>
        <w:tcPr>
          <w:tcW w:type="dxa" w:w="504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</w:tcPr>
        <w:p>
          <w:pPr>
            <w:jc w:val="right"/>
          </w:pPr>
          <w:r>
            <w:rPr>
              <w:rFonts w:ascii="Aptos" w:hAnsi="Aptos"/>
              <w:color w:val="4B5563"/>
              <w:sz w:val="16"/>
            </w:rPr>
            <w:t>AUM / FUM Movement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