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28"/>
        <w:gridCol w:w="5328"/>
      </w:tblGrid>
      <w:tr>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r>
              <w:rPr>
                <w:b/>
                <w:i w:val="0"/>
                <w:color w:val="000000"/>
                <w:sz w:val="16"/>
                <w:highlight w:val="yellow"/>
                <w:u w:val="none"/>
              </w:rPr>
              <w:t>[LOGO PLACEHOLDER]</w:t>
            </w:r>
            <w:r>
              <w:br/>
            </w:r>
            <w:r>
              <w:rPr>
                <w:b w:val="0"/>
                <w:i w:val="0"/>
                <w:color w:val="55606D"/>
                <w:sz w:val="16"/>
                <w:u w:val="none"/>
              </w:rPr>
              <w:t>Asset Management Client Statement</w:t>
            </w:r>
          </w:p>
        </w:tc>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pPr>
              <w:jc w:val="right"/>
            </w:pPr>
            <w:r>
              <w:rPr>
                <w:b/>
                <w:i w:val="0"/>
                <w:color w:val="000000"/>
                <w:sz w:val="20"/>
                <w:highlight w:val="yellow"/>
                <w:u w:val="none"/>
              </w:rPr>
              <w:t xml:space="preserve">Arcus Asset Management</w:t>
            </w:r>
            <w:r>
              <w:br/>
            </w:r>
            <w:r>
              <w:rPr>
                <w:b w:val="0"/>
                <w:i w:val="0"/>
                <w:color w:val="000000"/>
                <w:sz w:val="16"/>
                <w:highlight w:val="yellow"/>
                <w:u w:val="none"/>
              </w:rPr>
              <w:t xml:space="preserve">Harare, Zimbabwe</w:t>
            </w:r>
            <w:r>
              <w:br/>
            </w:r>
            <w:r>
              <w:rPr>
                <w:b w:val="0"/>
                <w:i w:val="0"/>
                <w:color w:val="000000"/>
                <w:sz w:val="16"/>
                <w:highlight w:val="yellow"/>
                <w:u w:val="none"/>
              </w:rPr>
              <w:t xml:space="preserve">Company Reg. No: Arcus AM (Pvt) Ltd | SECZIM Licence No: —</w:t>
            </w:r>
            <w:r>
              <w:br/>
            </w:r>
            <w:r>
              <w:rPr>
                <w:b w:val="0"/>
                <w:i w:val="0"/>
                <w:color w:val="000000"/>
                <w:sz w:val="16"/>
                <w:highlight w:val="yellow"/>
                <w:u w:val="none"/>
              </w:rPr>
              <w:t xml:space="preserve">+263 | operations@arcus.co.zw | https://arcus.co.zw</w:t>
            </w:r>
          </w:p>
        </w:tc>
      </w:tr>
    </w:tbl>
    <w:tbl>
      <w:tblPr>
        <w:tblW w:type="auto" w:w="0"/>
        <w:tblLook w:firstColumn="1" w:firstRow="1" w:lastColumn="0" w:lastRow="0" w:noHBand="0" w:noVBand="1" w:val="04A0"/>
      </w:tblPr>
      <w:tblGrid>
        <w:gridCol w:w="10656"/>
      </w:tblGrid>
      <w:tr>
        <w:tc>
          <w:tcPr>
            <w:tcW w:type="dxa" w:w="10656"/>
            <w:shd w:fill="1687E8"/>
            <w:tcMar>
              <w:top w:w="1" w:type="dxa"/>
              <w:start w:w="1" w:type="dxa"/>
              <w:bottom w:w="1" w:type="dxa"/>
              <w:end w:w="1" w:type="dxa"/>
            </w:tcMar>
            <w:tcBorders>
              <w:top w:val="single" w:sz="1" w:space="0" w:color="1687E8"/>
              <w:left w:val="single" w:sz="1" w:space="0" w:color="1687E8"/>
              <w:bottom w:val="single" w:sz="1" w:space="0" w:color="1687E8"/>
              <w:right w:val="single" w:sz="1" w:space="0" w:color="1687E8"/>
              <w:insideH w:val="single" w:sz="1" w:space="0" w:color="1687E8"/>
              <w:insideV w:val="single" w:sz="1" w:space="0" w:color="1687E8"/>
            </w:tcBorders>
          </w:tcPr>
          <w:p/>
        </w:tc>
      </w:tr>
    </w:tbl>
    <w:p>
      <w:pPr>
        <w:jc w:val="center"/>
      </w:pPr>
      <w:r>
        <w:rPr>
          <w:b/>
          <w:i w:val="0"/>
          <w:color w:val="071A2F"/>
          <w:sz w:val="44"/>
          <w:u w:val="none"/>
        </w:rPr>
        <w:t>CLIENT PORTFOLIO VALUATION STATEMENT</w:t>
      </w:r>
    </w:p>
    <w:p>
      <w:pPr>
        <w:jc w:val="center"/>
      </w:pPr>
      <w:r>
        <w:rPr>
          <w:b w:val="0"/>
          <w:i w:val="0"/>
          <w:color w:val="55606D"/>
          <w:sz w:val="20"/>
          <w:u w:val="none"/>
        </w:rPr>
        <w:t>Portfolio Holdings, NAV, Cash, Income and Valuation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Replace every yellow highlighted placeholder before issuing the statement. Blue boxes are drafting instructions and should be deleted before the final statement is approved or published. Standard black text is intended to remain unchanged unless approved by compliance/legal. This template should be generated from approved Stock Price Collector / Portfolio Valuation data and not manually edited after generation.</w:t>
            </w:r>
          </w:p>
        </w:tc>
      </w:tr>
    </w:tbl>
    <w:p>
      <w:pPr>
        <w:pStyle w:val="Heading2"/>
      </w:pPr>
      <w:r>
        <w:rPr>
          <w:b/>
          <w:i w:val="0"/>
          <w:color w:val="1687E8"/>
          <w:sz w:val="22"/>
          <w:u w:val="none"/>
        </w:rPr>
        <w:t>Document Control</w:t>
      </w:r>
    </w:p>
    <w:tbl>
      <w:tblPr>
        <w:tblW w:type="auto" w:w="0"/>
        <w:jc w:val="center"/>
        <w:tblLayout w:type="autofit"/>
        <w:tblLook w:firstColumn="1" w:firstRow="1" w:lastColumn="0" w:lastRow="0" w:noHBand="0" w:noVBand="1" w:val="04A0"/>
      </w:tblPr>
      <w:tblGrid>
        <w:gridCol w:w="5328"/>
        <w:gridCol w:w="5328"/>
      </w:tblGrid>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Legal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Harare Pension Fund Trustees</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Account / Investor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cmrfh1vnp002cktbtk9m3ghta</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 Mandate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Arcus Listed Portfolio</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cmrdhkyoq003zkt4oo9paby46</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Reporting Period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2026-01-01 to 2026-03-31</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Valuation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2026-07-10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Base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Reporting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Statement Version</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1.0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Document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Prepared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w:t>
            </w:r>
          </w:p>
        </w:tc>
      </w:tr>
    </w:tbl>
    <w:p>
      <w:pPr>
        <w:pStyle w:val="Heading1"/>
      </w:pPr>
      <w:r>
        <w:rPr>
          <w:b/>
          <w:i w:val="0"/>
          <w:color w:val="071A2F"/>
          <w:sz w:val="30"/>
          <w:u w:val="none"/>
        </w:rPr>
        <w:t>1. Confidentiality, Purpose and Statement Basis</w:t>
      </w:r>
    </w:p>
    <w:p>
      <w:r>
        <w:rPr>
          <w:b w:val="0"/>
          <w:i w:val="0"/>
          <w:sz w:val="18"/>
          <w:u w:val="none"/>
        </w:rPr>
        <w:t xml:space="preserve">This Client Portfolio Valuation Statement is confidential and is issued solely for the use of </w:t>
      </w:r>
      <w:r>
        <w:rPr>
          <w:b w:val="0"/>
          <w:i w:val="0"/>
          <w:color w:val="000000"/>
          <w:sz w:val="18"/>
          <w:highlight w:val="yellow"/>
          <w:u w:val="none"/>
        </w:rPr>
        <w:t xml:space="preserve">Harare Pension Fund Trustees</w:t>
      </w:r>
      <w:r>
        <w:rPr>
          <w:b w:val="0"/>
          <w:i w:val="0"/>
          <w:sz w:val="18"/>
          <w:u w:val="none"/>
        </w:rPr>
        <w:t xml:space="preserve"> in relation to the portfolio managed or administered by </w:t>
      </w:r>
      <w:r>
        <w:rPr>
          <w:b w:val="0"/>
          <w:i w:val="0"/>
          <w:color w:val="000000"/>
          <w:sz w:val="18"/>
          <w:highlight w:val="yellow"/>
          <w:u w:val="none"/>
        </w:rPr>
        <w:t xml:space="preserve">Arcus Asset Management</w:t>
      </w:r>
      <w:r>
        <w:rPr>
          <w:b w:val="0"/>
          <w:i w:val="0"/>
          <w:sz w:val="18"/>
          <w:u w:val="none"/>
        </w:rPr>
        <w:t>. It may not be copied, distributed, disclosed or relied upon by any third party without prior written consent, except where disclosure is required by law, regulation, a competent authority, the client's auditors, tax advisers, legal advisers, trustees or custodians.</w:t>
      </w:r>
    </w:p>
    <w:p>
      <w:r>
        <w:rPr>
          <w:b w:val="0"/>
          <w:i w:val="0"/>
          <w:sz w:val="18"/>
          <w:u w:val="none"/>
        </w:rPr>
        <w:t xml:space="preserve">The values in this statement are prepared from approved portfolio records, holdings, prices, cash balances, income records, fee schedules, FX rates and reconciliation evidence as at </w:t>
      </w:r>
      <w:r>
        <w:rPr>
          <w:b w:val="0"/>
          <w:i w:val="0"/>
          <w:color w:val="000000"/>
          <w:sz w:val="18"/>
          <w:highlight w:val="yellow"/>
          <w:u w:val="none"/>
        </w:rPr>
        <w:t xml:space="preserve">2026-07-10</w:t>
      </w:r>
      <w:r>
        <w:rPr>
          <w:b w:val="0"/>
          <w:i w:val="0"/>
          <w:sz w:val="18"/>
          <w:u w:val="none"/>
        </w:rPr>
        <w:t>. The statement is not an offer, recommendation or solicitation to buy or sell any security or financial product.</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Confirm whether the client is under a discretionary mandate, advisory mandate, CIS/unit trust, pension mandate or segregated portfolio arrangement. Select the correct disclaimer wording and attach the applicable mandate or investment policy statement reference before final approval.</w:t>
            </w:r>
          </w:p>
        </w:tc>
      </w:tr>
    </w:tbl>
    <w:p>
      <w:pPr>
        <w:pStyle w:val="Heading1"/>
      </w:pPr>
      <w:r>
        <w:rPr>
          <w:b/>
          <w:i w:val="0"/>
          <w:color w:val="071A2F"/>
          <w:sz w:val="30"/>
          <w:u w:val="none"/>
        </w:rPr>
        <w:t>2. Client and Mandate Details</w:t>
      </w:r>
    </w:p>
    <w:tbl>
      <w:tblPr>
        <w:tblW w:type="auto" w:w="0"/>
        <w:jc w:val="center"/>
        <w:tblLayout w:type="autofit"/>
        <w:tblLook w:firstColumn="1" w:firstRow="1" w:lastColumn="0" w:lastRow="0" w:noHBand="0" w:noVBand="1" w:val="04A0"/>
      </w:tblPr>
      <w:tblGrid>
        <w:gridCol w:w="5328"/>
        <w:gridCol w:w="5328"/>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Client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Mandate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Investment Objective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Benchmark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ZSE Industrial Index</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Risk Profile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Investment Policy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2026-07-10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Custodian / Broker / Bank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Portfolio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Relationship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w:t>
            </w:r>
          </w:p>
        </w:tc>
      </w:tr>
    </w:tbl>
    <w:p>
      <w:pPr>
        <w:pStyle w:val="Heading1"/>
      </w:pPr>
      <w:r>
        <w:rPr>
          <w:b/>
          <w:i w:val="0"/>
          <w:color w:val="071A2F"/>
          <w:sz w:val="30"/>
          <w:u w:val="none"/>
        </w:rPr>
        <w:t>3. Portfolio Valuation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Populate this section from the approved valuation snapshot only. Market values, NAV, cash and accrued income must reconcile to source modules before approval. If any price is stale or manually overridden, document it in the Price and Valuation Exceptions section.</w:t>
            </w:r>
          </w:p>
        </w:tc>
      </w:tr>
    </w:tbl>
    <w:tbl>
      <w:tblPr>
        <w:tblW w:type="auto" w:w="0"/>
        <w:jc w:val="center"/>
        <w:tblLayout w:type="autofit"/>
        <w:tblLook w:firstColumn="1" w:firstRow="1" w:lastColumn="0" w:lastRow="0" w:noHBand="0" w:noVBand="1" w:val="04A0"/>
      </w:tblPr>
      <w:tblGrid>
        <w:gridCol w:w="5328"/>
        <w:gridCol w:w="5328"/>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Opening Portfolio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Contributions / Deposits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Withdrawals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Income Received / Accrued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Realised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Unrealised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Fees and Charges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Tax / Withholding, if applicable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FX Gain / Loss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Closing Portfolio Value / NAV</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Cash Balance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Invested Assets Market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1,489,900.00</w:t>
            </w:r>
          </w:p>
        </w:tc>
      </w:tr>
    </w:tbl>
    <w:p>
      <w:pPr>
        <w:pStyle w:val="Heading1"/>
      </w:pPr>
      <w:r>
        <w:rPr>
          <w:b/>
          <w:i w:val="0"/>
          <w:color w:val="071A2F"/>
          <w:sz w:val="30"/>
          <w:u w:val="none"/>
        </w:rPr>
        <w:t>4. NAV Bridge</w:t>
      </w:r>
    </w:p>
    <w:tbl>
      <w:tblPr>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Movement Component</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47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Commentary / Source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Opening NAV / portfolio value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Net client deposits / withdrawals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income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Realised gains / losses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Unrealised gains / losses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Management, custody and transaction fees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Tax / withholding</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FX movement</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Closing NAV / portfolio value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47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cmrfh5qik005yktfqpl41uqv7</w:t>
            </w:r>
          </w:p>
        </w:tc>
      </w:tr>
    </w:tbl>
    <w:p>
      <w:pPr>
        <w:pStyle w:val="Heading1"/>
      </w:pPr>
      <w:r>
        <w:rPr>
          <w:b/>
          <w:i w:val="0"/>
          <w:color w:val="071A2F"/>
          <w:sz w:val="30"/>
          <w:u w:val="none"/>
        </w:rPr>
        <w:t>5. Asset Allocation Summary</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Asset Class</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of Portfolio</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Benchmark / Target</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Variance</w:t>
            </w:r>
          </w:p>
        </w:tc>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Commentary</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Listed equities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100.00%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Money market instruments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Bonds / fixed income</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Unquoted equities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Property / alternatives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Cash</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44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100.00%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Generated from approved investment operations records.</w:t>
            </w:r>
          </w:p>
        </w:tc>
      </w:tr>
    </w:tbl>
    <w:p>
      <w:pPr>
        <w:pStyle w:val="Heading2"/>
      </w:pPr>
      <w:r>
        <w:rPr>
          <w:b/>
          <w:i w:val="0"/>
          <w:color w:val="1687E8"/>
          <w:sz w:val="22"/>
          <w:u w:val="none"/>
        </w:rPr>
        <w:t>Currency Exposure</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Currency</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of Portfolio</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FX Rate Used</w:t>
            </w:r>
          </w:p>
        </w:tc>
        <w:tc>
          <w:tcPr>
            <w:tcW w:type="dxa" w:w="33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FX Source / Approval</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USD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1,489,900.00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26.9181</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ZiG / ZWG</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26.9181</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Consolidated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1,489,900.00</w:t>
            </w:r>
          </w:p>
        </w:tc>
        <w:tc>
          <w:tcPr>
            <w:tcW w:type="dxa" w:w="158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bl>
    <w:p>
      <w:pPr>
        <w:sectPr>
          <w:headerReference w:type="default" r:id="rId9"/>
          <w:footerReference w:type="default" r:id="rId10"/>
          <w:pgSz w:w="12240" w:h="15840"/>
          <w:pgMar w:top="792" w:right="792" w:bottom="792" w:left="792" w:header="720" w:footer="720" w:gutter="0"/>
          <w:cols w:space="720"/>
          <w:docGrid w:linePitch="360"/>
        </w:sectPr>
      </w:pPr>
    </w:p>
    <w:p>
      <w:pPr>
        <w:pStyle w:val="Heading1"/>
      </w:pPr>
      <w:r>
        <w:rPr>
          <w:b/>
          <w:i w:val="0"/>
          <w:color w:val="071A2F"/>
          <w:sz w:val="30"/>
          <w:u w:val="none"/>
        </w:rPr>
        <w:t>6. Detailed Holdings Schedule</w:t>
      </w:r>
    </w:p>
    <w:tbl>
      <w:tblPr>
        <w:tblW w:type="auto" w:w="0"/>
        <w:jc w:val="center"/>
        <w:tblLook w:firstColumn="1" w:firstRow="1" w:lastColumn="0" w:lastRow="0" w:noHBand="0" w:noVBand="1" w:val="04A0"/>
      </w:tblPr>
      <w:tblGrid>
        <w:gridCol w:w="14544"/>
      </w:tblGrid>
      <w:tr>
        <w:tc>
          <w:tcPr>
            <w:tcW w:type="dxa" w:w="14544"/>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This schedule should be generated directly from approved holdings, price and FX data. Do not type holdings manually. Use additional rows as required. Every holding should have a valid quantity, approved price, market value and pricing source.</w:t>
            </w:r>
          </w:p>
        </w:tc>
      </w:tr>
    </w:tbl>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64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No.</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Instrument / Security</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ISIN / Code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Asset Class</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Quantity</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Price</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Market Value</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 Portfolio</w:t>
            </w:r>
          </w:p>
        </w:tc>
        <w:tc>
          <w:tcPr>
            <w:tcW w:type="dxa" w:w="30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Price Source / Status</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1</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CBZ Holdings Limited</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CBZ</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12.45</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311,250.00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20.89%</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2</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Delta Corporation Limited</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DLTA</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15,000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18.75</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281,250.00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18.88%</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3</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Innscor Africa Limited</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INN</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5,000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42.10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210,500.00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14.13%</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4</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Econet Wireless Zimbabwe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ECO</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40,000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4.55</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182,000.00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12.22%</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5</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British American Tobacco Zimbabwe Limited</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BAT</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2,000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85.00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170,000.00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11.41%</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6</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FBC Holdings Limited</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FBC</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Equity</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20,000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8.30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166,000.00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11.14%</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OK</w:t>
            </w:r>
          </w:p>
        </w:tc>
      </w:tr>
      <w:tr>
        <w:tc>
          <w:tcPr>
            <w:tcW w:type="dxa" w:w="64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Total</w:t>
            </w:r>
          </w:p>
        </w:tc>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72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51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44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USD 1,489,900.00</w:t>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u w:val="none"/>
              </w:rPr>
              <w:t>100.00%</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3"/>
                <w:highlight w:val="yellow"/>
                <w:u w:val="none"/>
              </w:rPr>
              <w:t xml:space="preserve">cmrfh6v9a008rktfq9kv443jl</w:t>
            </w:r>
          </w:p>
        </w:tc>
      </w:tr>
    </w:tbl>
    <w:p>
      <w:pPr>
        <w:sectPr>
          <w:pgSz w:w="15840" w:h="12240" w:orient="landscape"/>
          <w:pgMar w:top="648" w:right="648" w:bottom="648" w:left="648" w:header="720" w:footer="720" w:gutter="0"/>
          <w:cols w:space="720"/>
          <w:docGrid w:linePitch="360"/>
        </w:sectPr>
      </w:pPr>
    </w:p>
    <w:p>
      <w:pPr>
        <w:pStyle w:val="Heading1"/>
      </w:pPr>
      <w:r>
        <w:rPr>
          <w:b/>
          <w:i w:val="0"/>
          <w:color w:val="071A2F"/>
          <w:sz w:val="30"/>
          <w:u w:val="none"/>
        </w:rPr>
        <w:t>7. Income, Cash and Fee Summary</w:t>
      </w:r>
    </w:p>
    <w:p>
      <w:pPr>
        <w:pStyle w:val="Heading2"/>
      </w:pPr>
      <w:r>
        <w:rPr>
          <w:b/>
          <w:i w:val="0"/>
          <w:color w:val="1687E8"/>
          <w:sz w:val="22"/>
          <w:u w:val="none"/>
        </w:rPr>
        <w:t>Income Summary</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Income Type</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Gross Amount</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Tax / Withholding</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Net Amount</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Source Reference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Dividends</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Coupons / bond interest</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Money market interest</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 income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bl>
    <w:p>
      <w:pPr>
        <w:pStyle w:val="Heading2"/>
      </w:pPr>
      <w:r>
        <w:rPr>
          <w:b/>
          <w:i w:val="0"/>
          <w:color w:val="1687E8"/>
          <w:sz w:val="22"/>
          <w:u w:val="none"/>
        </w:rPr>
        <w:t>Cash Movement Summary</w:t>
      </w:r>
    </w:p>
    <w:tbl>
      <w:tblPr>
        <w:tblW w:type="auto" w:w="0"/>
        <w:jc w:val="center"/>
        <w:tblLayout w:type="autofit"/>
        <w:tblLook w:firstColumn="1" w:firstRow="1" w:lastColumn="0" w:lastRow="0" w:noHBand="0" w:noVBand="1" w:val="04A0"/>
      </w:tblPr>
      <w:tblGrid>
        <w:gridCol w:w="2581"/>
        <w:gridCol w:w="2581"/>
        <w:gridCol w:w="2581"/>
        <w:gridCol w:w="2581"/>
      </w:tblGrid>
      <w:tr>
        <w:trPr>
          <w:tblHeader w:val="true"/>
        </w:trPr>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Cash Movement</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28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Bank / Custodian Reference</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Opening cash</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Client deposits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Client withdrawals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purchases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Investment sales / maturities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Income received</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Fees and charges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880"/>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Closing cash</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28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bl>
    <w:p>
      <w:pPr>
        <w:pStyle w:val="Heading2"/>
      </w:pPr>
      <w:r>
        <w:rPr>
          <w:b/>
          <w:i w:val="0"/>
          <w:color w:val="1687E8"/>
          <w:sz w:val="22"/>
          <w:u w:val="none"/>
        </w:rPr>
        <w:t>Fee Summary</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Fee / Charge</w:t>
            </w:r>
          </w:p>
        </w:tc>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Basis</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Amount</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VAT / Tax, if applicable</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Net Amount</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Management fee</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Custody fee</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Brokerage / transaction costs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Other charges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Total fees and charges</w:t>
            </w:r>
          </w:p>
        </w:tc>
        <w:tc>
          <w:tcPr>
            <w:tcW w:type="dxa" w:w="230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USD 0.00</w:t>
            </w:r>
          </w:p>
        </w:tc>
      </w:tr>
    </w:tbl>
    <w:p>
      <w:pPr>
        <w:pStyle w:val="Heading1"/>
      </w:pPr>
      <w:r>
        <w:rPr>
          <w:b/>
          <w:i w:val="0"/>
          <w:color w:val="071A2F"/>
          <w:sz w:val="30"/>
          <w:u w:val="none"/>
        </w:rPr>
        <w:t>8. Performance and Portfolio Commentary</w:t>
      </w:r>
    </w:p>
    <w:tbl>
      <w:tblPr>
        <w:tblW w:type="auto" w:w="0"/>
        <w:jc w:val="center"/>
        <w:tblLayout w:type="autofit"/>
        <w:tblLook w:firstColumn="1" w:firstRow="1" w:lastColumn="0" w:lastRow="0" w:noHBand="0" w:noVBand="1" w:val="04A0"/>
      </w:tblPr>
      <w:tblGrid>
        <w:gridCol w:w="5162"/>
        <w:gridCol w:w="5162"/>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Period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0.00%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Year-to-Date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0.00%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Benchmark Return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0.00%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Relative Performance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Realised P&amp;L</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Unrealised P&amp;L</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USD 0.00</w:t>
            </w:r>
          </w:p>
        </w:tc>
      </w:tr>
    </w:tbl>
    <w:p>
      <w:r>
        <w:rPr>
          <w:b w:val="0"/>
          <w:i w:val="0"/>
          <w:color w:val="000000"/>
          <w:sz w:val="18"/>
          <w:highlight w:val="yellow"/>
          <w:u w:val="none"/>
        </w:rPr>
        <w:t/>
      </w:r>
    </w:p>
    <w:p>
      <w:pPr>
        <w:pStyle w:val="Heading1"/>
      </w:pPr>
      <w:r>
        <w:rPr>
          <w:b/>
          <w:i w:val="0"/>
          <w:color w:val="071A2F"/>
          <w:sz w:val="30"/>
          <w:u w:val="none"/>
        </w:rPr>
        <w:t>9. Mandate Compliance and Exceptions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Compliance Test</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Limit / Requirement</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Actual</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Result</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Comment / Remediation</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Asset allocation limits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Single issuer concentration</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Restricted assets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Liquidity requirement</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Currency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r>
    </w:tbl>
    <w:p>
      <w:pPr>
        <w:pStyle w:val="Heading1"/>
      </w:pPr>
      <w:r>
        <w:rPr>
          <w:b/>
          <w:i w:val="0"/>
          <w:color w:val="071A2F"/>
          <w:sz w:val="30"/>
          <w:u w:val="none"/>
        </w:rPr>
        <w:t>10. Price, Valuation and Reconciliation Controls</w:t>
      </w:r>
    </w:p>
    <w:tbl>
      <w:tblPr>
        <w:tblW w:type="auto" w:w="0"/>
        <w:jc w:val="center"/>
        <w:tblLook w:firstColumn="1" w:firstRow="1" w:lastColumn="0" w:lastRow="0" w:noHBand="0" w:noVBand="1" w:val="04A0"/>
      </w:tblPr>
      <w:tblGrid>
        <w:gridCol w:w="10325"/>
      </w:tblGrid>
      <w:tr>
        <w:tc>
          <w:tcPr>
            <w:tcW w:type="dxa" w:w="10325"/>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7"/>
                <w:u w:val="none"/>
              </w:rPr>
              <w:t xml:space="preserve">INSTRUCTION: </w:t>
            </w:r>
            <w:r>
              <w:rPr>
                <w:b w:val="0"/>
                <w:i w:val="0"/>
                <w:color w:val="071A2F"/>
                <w:sz w:val="17"/>
                <w:u w:val="none"/>
              </w:rPr>
              <w:t>The statement should be blocked from approval where quarter/month-end prices, FX rates, NAV approval, cash reconciliation or mandate compliance checks are incomplete. Use this section to evidence those controls.</w:t>
            </w:r>
          </w:p>
        </w:tc>
      </w:tr>
    </w:tbl>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Valuation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cmrfh5qik005yktfqpl41uqv7</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Price Date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2026-07-10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Price Exception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Manual Price Overrides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Stale Price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FX Rate Approval Reference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cmrfh6v9a008rktfq9kv443jl</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Cash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Holdings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NAV Approval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w:r>
          </w:p>
        </w:tc>
      </w:tr>
    </w:tbl>
    <w:p>
      <w:pPr>
        <w:pStyle w:val="Heading2"/>
      </w:pPr>
      <w:r>
        <w:rPr>
          <w:b/>
          <w:i w:val="0"/>
          <w:color w:val="1687E8"/>
          <w:sz w:val="22"/>
          <w:u w:val="none"/>
        </w:rPr>
        <w:t>Open Exceptions</w:t>
      </w:r>
    </w:p>
    <w:tbl>
      <w:tblPr>
        <w:tblW w:type="auto" w:w="0"/>
        <w:jc w:val="center"/>
        <w:tblLayout w:type="autofit"/>
        <w:tblLook w:firstColumn="1" w:firstRow="1" w:lastColumn="0" w:lastRow="0" w:noHBand="0" w:noVBand="1" w:val="04A0"/>
      </w:tblPr>
      <w:tblGrid>
        <w:gridCol w:w="1721"/>
        <w:gridCol w:w="1721"/>
        <w:gridCol w:w="1721"/>
        <w:gridCol w:w="1721"/>
        <w:gridCol w:w="1721"/>
        <w:gridCol w:w="1721"/>
      </w:tblGrid>
      <w:tr>
        <w:trPr>
          <w:tblHeader w:val="true"/>
        </w:trPr>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Exception ID</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Exception Type</w:t>
            </w:r>
          </w:p>
        </w:tc>
        <w:tc>
          <w:tcPr>
            <w:tcW w:type="dxa" w:w="30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Description</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Owner</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Status</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Target Resolution Date</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Arcus Asset Management</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2026-07-10</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Arcus Asset Management</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2026-07-10</w:t>
            </w:r>
          </w:p>
        </w:tc>
      </w:tr>
      <w:tr>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30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Per approved investment operations policy and valuation records.</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Arcus Asset Management</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2026-07-10</w:t>
            </w:r>
          </w:p>
        </w:tc>
      </w:tr>
    </w:tbl>
    <w:p>
      <w:pPr>
        <w:pStyle w:val="Heading1"/>
      </w:pPr>
      <w:r>
        <w:rPr>
          <w:b/>
          <w:i w:val="0"/>
          <w:color w:val="071A2F"/>
          <w:sz w:val="30"/>
          <w:u w:val="none"/>
        </w:rPr>
        <w:t>11. Legal, Reliance and Tax Notes</w:t>
      </w:r>
    </w:p>
    <w:p>
      <w:r>
        <w:rPr>
          <w:b w:val="0"/>
          <w:i w:val="0"/>
          <w:sz w:val="18"/>
          <w:u w:val="none"/>
        </w:rPr>
        <w:t>This statement is based on information believed to be reliable at the valuation date, including approved records maintained by the asset manager, broker, custodian, bank and relevant source modules. Values may change after the valuation date due to market movements, pricing corrections, settlements, corporate actions, FX movements, fees, tax or other adjustments.</w:t>
      </w:r>
    </w:p>
    <w:p>
      <w:r>
        <w:rPr>
          <w:b w:val="0"/>
          <w:i w:val="0"/>
          <w:sz w:val="18"/>
          <w:u w:val="none"/>
        </w:rPr>
        <w:t>This document is provided for reporting purposes only. It does not constitute legal, tax, accounting or investment advice. The client should obtain independent professional advice regarding tax, legal or accounting consequences of investment activity reflected in this statement.</w:t>
      </w:r>
    </w:p>
    <w:p>
      <w:r>
        <w:rPr>
          <w:b w:val="0"/>
          <w:i w:val="0"/>
          <w:sz w:val="18"/>
          <w:u w:val="none"/>
        </w:rPr>
        <w:t>Where a discrepancy exists between this statement and the approved books, custodian records, mandate documents, governing scheme documents or regulatory records, the approved underlying records and governing documents shall prevail, subject to investigation and formal correction through the authorised reissue process.</w:t>
      </w:r>
    </w:p>
    <w:p>
      <w:pPr>
        <w:pStyle w:val="Heading1"/>
      </w:pPr>
      <w:r>
        <w:rPr>
          <w:b/>
          <w:i w:val="0"/>
          <w:color w:val="071A2F"/>
          <w:sz w:val="30"/>
          <w:u w:val="none"/>
        </w:rPr>
        <w:t>12. Approval and Release</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Prepared By - Maker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 Investment Operations,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Reviewed By - Operations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Reviewed By - Portfolio Manager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Approved By - Checker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7"/>
                <w:u w:val="none"/>
              </w:rPr>
              <w:t>Authorised for Client Publication By</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7"/>
                <w:highlight w:val="yellow"/>
                <w:u w:val="none"/>
              </w:rPr>
              <w:t xml:space="preserve">Admin User, Admin User, 2026-07-10, Admin User</w:t>
            </w:r>
          </w:p>
        </w:tc>
      </w:tr>
    </w:tbl>
    <w:p>
      <w:pPr>
        <w:pStyle w:val="Heading1"/>
      </w:pPr>
      <w:r>
        <w:rPr>
          <w:b/>
          <w:i w:val="0"/>
          <w:color w:val="071A2F"/>
          <w:sz w:val="30"/>
          <w:u w:val="none"/>
        </w:rPr>
        <w:t>13. Digital Signature, Portal and Audit Control</w:t>
      </w:r>
    </w:p>
    <w:tbl>
      <w:tblPr>
        <w:tblW w:type="auto" w:w="0"/>
        <w:jc w:val="center"/>
        <w:tblLayout w:type="autofit"/>
        <w:tblLook w:firstColumn="1" w:firstRow="1" w:lastColumn="0" w:lastRow="0" w:noHBand="0" w:noVBand="1" w:val="04A0"/>
      </w:tblPr>
      <w:tblGrid>
        <w:gridCol w:w="5162"/>
        <w:gridCol w:w="516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Control Field</w:t>
            </w:r>
          </w:p>
        </w:tc>
        <w:tc>
          <w:tcPr>
            <w:tcW w:type="dxa" w:w="69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5"/>
                <w:u w:val="none"/>
              </w:rPr>
              <w:t>Detail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Reporting Run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Generated Report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Portfolio Valuation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cmrfh5qik005yktfqpl41uqv7</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Source Data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cmrfh5qik005yktfqpl41uqv7</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Price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cmrfh5qik005yktfqpl41uqv7</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FX Rate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ZIMRATE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Maker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Checker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Approval Date and Time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2026-07-10T21:56:39.748Z</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Published to Client Portal</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Portal Publication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2026-07-10</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Document Hash / Checksum</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9391915f27b8953a</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Watermark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Archive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u w:val="none"/>
              </w:rPr>
              <w:t>Reissue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5"/>
                <w:highlight w:val="yellow"/>
                <w:u w:val="none"/>
              </w:rPr>
              <w:t xml:space="preserve">cmrfh6v9a008rktfq9kv443jl</w:t>
            </w:r>
          </w:p>
        </w:tc>
      </w:tr>
    </w:tbl>
    <w:p>
      <w:r>
        <w:rPr>
          <w:b w:val="0"/>
          <w:i/>
          <w:color w:val="55606D"/>
          <w:sz w:val="16"/>
          <w:u w:val="none"/>
        </w:rPr>
        <w:t xml:space="preserve">Footer wording: Confidential Client Portfolio Valuation Statement | Harare Pension Fund Trustees | Arcus Listed Portfolio | —.</w:t>
      </w:r>
    </w:p>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06D"/>
        <w:sz w:val="14"/>
        <w:highlight w:val="yellow"/>
        <w:u w:val="none"/>
      </w:rPr>
      <w:t xml:space="preserve">Confidential | Harare Pension Fund Trustees | Arcus Listed Portfolio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color w:val="071A2F"/>
        <w:sz w:val="16"/>
        <w:u w:val="none"/>
      </w:rPr>
      <w:t>ARCUS REPORTING TEMPLATE  |  CLIENT PORTFOLIO VALUATION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71A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87E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71A2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