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b/>
          <w:i w:val="0"/>
          <w:color w:val="1688E8"/>
          <w:sz w:val="26"/>
        </w:rPr>
        <w:t>ARCUS</w:t>
      </w:r>
    </w:p>
    <w:p>
      <w:pPr>
        <w:jc w:val="center"/>
      </w:pPr>
      <w:r>
        <w:rPr>
          <w:rFonts w:ascii="Aptos" w:hAnsi="Aptos"/>
          <w:b/>
          <w:i w:val="0"/>
          <w:color w:val="071426"/>
          <w:sz w:val="42"/>
        </w:rPr>
        <w:t>CUSTODIAN / TRUSTEE RECONCILIATION</w:t>
      </w:r>
    </w:p>
    <w:p>
      <w:pPr>
        <w:jc w:val="center"/>
      </w:pPr>
      <w:r>
        <w:rPr>
          <w:rFonts w:ascii="Aptos" w:hAnsi="Aptos"/>
          <w:b w:val="0"/>
          <w:i w:val="0"/>
          <w:color w:val="4B5563"/>
          <w:sz w:val="20"/>
        </w:rPr>
        <w:t>CIS, Unit Trust, REIT and Asset Management Reconciliation Support Template</w:t>
      </w:r>
    </w:p>
    <w:p>
      <w:pPr>
        <w:jc w:val="center"/>
      </w:pPr>
      <w:r>
        <w:rPr>
          <w:rFonts w:ascii="Aptos" w:hAnsi="Aptos"/>
          <w:b/>
          <w:i w:val="0"/>
          <w:color w:val="071426"/>
          <w:sz w:val="18"/>
        </w:rPr>
        <w:t>Confidential Operational Control and Regulatory Evidence Document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Replace all yellow highlighted fields before issuing. Blue instruction boxes are preparation guidance and should be deleted, hidden or retained only in internal working versions. Plain black text is standard wording and should not be changed unless authorised by legal, compliance or the responsible officer.</w:t>
            </w:r>
          </w:p>
        </w:tc>
      </w:tr>
    </w:tbl>
    <w:p>
      <w:pPr>
        <w:spacing w:after="40"/>
      </w:pPr>
    </w:p>
    <w:tbl>
      <w:tblPr>
        <w:tblW w:type="auto" w:w="0"/>
        <w:jc w:val="center"/>
        <w:tblLayout w:type="autofit"/>
        <w:tblLook w:firstColumn="1" w:firstRow="1" w:lastColumn="0" w:lastRow="0" w:noHBand="0" w:noVBand="1" w:val="04A0"/>
      </w:tblPr>
      <w:tblGrid>
        <w:gridCol w:w="7200"/>
        <w:gridCol w:w="7200"/>
      </w:tblGrid>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Entity / Fund Name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Admin User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Scheme / Portfolio Type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Fund Manager / Asset Manager</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Admin User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Trustee Name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Admin User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Custodian Name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Admin User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Administrator / Registrar</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Admin User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Reporting Period</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Reconciliation Date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2026-07-10</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Base Currency</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USD</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Prepared For</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Report Version</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1.0</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Document Status</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w:t>
            </w:r>
          </w:p>
        </w:tc>
      </w:tr>
    </w:tbl>
    <w:p>
      <w:pPr>
        <w:spacing w:after="40"/>
      </w:pPr>
    </w:p>
    <w:p>
      <w:pPr>
        <w:pStyle w:val="Heading1"/>
        <w:spacing w:before="140" w:after="60"/>
      </w:pPr>
      <w:r>
        <w:t>Template Use Guide</w:t>
      </w:r>
    </w:p>
    <w:tbl>
      <w:tblPr>
        <w:tblW w:type="auto" w:w="0"/>
        <w:jc w:val="center"/>
        <w:tblLayout w:type="autofit"/>
        <w:tblLook w:firstColumn="1" w:firstRow="1" w:lastColumn="0" w:lastRow="0" w:noHBand="0" w:noVBand="1" w:val="04A0"/>
      </w:tblPr>
      <w:tblGrid>
        <w:gridCol w:w="4800"/>
        <w:gridCol w:w="4800"/>
        <w:gridCol w:w="4800"/>
      </w:tblGrid>
      <w:tr>
        <w:trPr>
          <w:tblHeader w:val="true"/>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Visual Marker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Meaning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Action Required</w:t>
            </w:r>
          </w:p>
        </w:tc>
      </w:tr>
      <w:t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Yellow highlighted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Editable placeholder field</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Replace with actual system-generated or approved value</w:t>
            </w:r>
          </w:p>
        </w:tc>
      </w:tr>
      <w:t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Blue instruction box</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Guidance for preparer/reviewer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Delete, hide or retain internally before final issue</w:t>
            </w:r>
          </w:p>
        </w:tc>
      </w:tr>
      <w:t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Plain black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Standard report wording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Keep unless authorised by legal/compliance</w:t>
            </w:r>
          </w:p>
        </w:tc>
      </w:tr>
    </w:tbl>
    <w:p>
      <w:pPr>
        <w:spacing w:after="40"/>
      </w:pPr>
    </w:p>
    <w:p>
      <w:pPr>
        <w:pStyle w:val="Heading1"/>
        <w:spacing w:before="140" w:after="60"/>
      </w:pPr>
      <w:r>
        <w:t>1. Purpose and Scope</w:t>
      </w:r>
    </w:p>
    <w:p>
      <w:pPr>
        <w:spacing w:after="100"/>
      </w:pPr>
      <w:r>
        <w:rPr>
          <w:rFonts w:ascii="Aptos" w:hAnsi="Aptos"/>
          <w:b w:val="0"/>
          <w:i w:val="0"/>
        </w:rPr>
        <w:t xml:space="preserve">This Custodian / Trustee Reconciliation is prepared for </w:t>
      </w:r>
      <w:r>
        <w:rPr>
          <w:rFonts w:ascii="Aptos" w:hAnsi="Aptos"/>
          <w:b w:val="0"/>
          <w:i w:val="0"/>
          <w:highlight w:val="yellow"/>
        </w:rPr>
        <w:t xml:space="preserve">Admin User</w:t>
      </w:r>
      <w:r>
        <w:rPr>
          <w:rFonts w:ascii="Aptos" w:hAnsi="Aptos"/>
          <w:b w:val="0"/>
          <w:i w:val="0"/>
        </w:rPr>
        <w:t xml:space="preserve"> for the period ended </w:t>
      </w:r>
      <w:r>
        <w:rPr>
          <w:rFonts w:ascii="Aptos" w:hAnsi="Aptos"/>
          <w:b w:val="0"/>
          <w:i w:val="0"/>
          <w:highlight w:val="yellow"/>
        </w:rPr>
        <w:t xml:space="preserve">2026-03-31</w:t>
      </w:r>
      <w:r>
        <w:rPr>
          <w:rFonts w:ascii="Aptos" w:hAnsi="Aptos"/>
          <w:b w:val="0"/>
          <w:i w:val="0"/>
        </w:rPr>
        <w:t>. It compares Arcus source records against custodian, trustee, administrator, registrar, broker and bank records to confirm the accuracy of holdings, cash, settlements, income, subscriptions, redemptions, NAV support and unresolved reconciliation exceptions.</w:t>
      </w:r>
    </w:p>
    <w:p>
      <w:pPr>
        <w:spacing w:after="100"/>
      </w:pPr>
      <w:r>
        <w:rPr>
          <w:rFonts w:ascii="Aptos" w:hAnsi="Aptos"/>
          <w:b w:val="0"/>
          <w:i w:val="0"/>
        </w:rPr>
        <w:t>The reconciliation is generated from approved Arcus source data, including portfolio holdings, positions, trades, cash balances, income events, fees, investor registry, NAV records, documents and reconciliation items. Any difference must be investigated, aged, assigned to an owner and resolved or escalated before final approval of the relevant investor statement, CIS return pack, client statement or regulatory evidence pack.</w:t>
      </w:r>
    </w:p>
    <w:p>
      <w:pPr>
        <w:spacing w:after="100"/>
      </w:pPr>
      <w:r>
        <w:rPr>
          <w:rFonts w:ascii="Aptos" w:hAnsi="Aptos"/>
          <w:b/>
          <w:i w:val="0"/>
        </w:rPr>
        <w:t xml:space="preserve">Important: </w:t>
      </w:r>
      <w:r>
        <w:rPr>
          <w:rFonts w:ascii="Aptos" w:hAnsi="Aptos"/>
          <w:b w:val="0"/>
          <w:i w:val="0"/>
        </w:rPr>
        <w:t>This document is an operational control and evidence pack. It does not replace any custodian statement, trustee confirmation, official regulator-prescribed form, audit confirmation or statutory submission required under applicable law, scheme rules or mandate documents.</w:t>
      </w:r>
    </w:p>
    <w:p>
      <w:pPr>
        <w:pStyle w:val="Heading1"/>
        <w:spacing w:before="140" w:after="60"/>
      </w:pPr>
      <w:r>
        <w:t>2. Legal, Mandate and Control Basis</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Insert the governing documents and control basis relevant to the entity. For a CIS/unit trust/REIT, include the trust deed, prospectus, scheme rules, trustee agreement, custodian agreement, regulator correspondence and internal valuation policy. For discretionary portfolios, include the investment mandate, custody agreement and client reporting requirements.</w:t>
            </w:r>
          </w:p>
        </w:tc>
      </w:tr>
    </w:tbl>
    <w:p>
      <w:pPr>
        <w:spacing w:after="40"/>
      </w:pPr>
    </w:p>
    <w:tbl>
      <w:tblPr>
        <w:tblW w:type="auto" w:w="0"/>
        <w:jc w:val="center"/>
        <w:tblLayout w:type="autofit"/>
        <w:tblLook w:firstColumn="1" w:firstRow="1" w:lastColumn="0" w:lastRow="0" w:noHBand="0" w:noVBand="1" w:val="04A0"/>
      </w:tblPr>
      <w:tblGrid>
        <w:gridCol w:w="7200"/>
        <w:gridCol w:w="7200"/>
      </w:tblGrid>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Governing Documents</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2026-07-10</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Applicable Reporting Obligation</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Reconciliation Frequency</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Primary Source Module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0</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External Records Compared</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Materiality Threshold</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USD 0.00</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Tolerance Rule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Escalation Rule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w:t>
            </w:r>
          </w:p>
        </w:tc>
      </w:tr>
    </w:tbl>
    <w:p>
      <w:pPr>
        <w:spacing w:after="40"/>
      </w:pPr>
    </w:p>
    <w:p>
      <w:pPr>
        <w:pStyle w:val="Heading1"/>
        <w:spacing w:before="140" w:after="60"/>
      </w:pPr>
      <w:r>
        <w:t>3. Reconciliation Control Checklist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All mandatory checks should be completed before the reconciliation is marked approved. Items marked No or N/A must be explained in the exception register.</w:t>
            </w:r>
          </w:p>
        </w:tc>
      </w:tr>
    </w:tbl>
    <w:p>
      <w:pPr>
        <w:spacing w:after="40"/>
      </w:pPr>
    </w:p>
    <w:tbl>
      <w:tblPr>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Check</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Evidence Reference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Exception / Comment</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Custodian statement received and uploaded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statement / confirmation received where applicable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Bank statements received and uploaded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Broker contract notes and settlement reports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Securities holdings reconciled by instrument and quantity</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Security prices and valuation support checked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Cash balances reconciled by account and currency</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Subscriptions and redemptions cash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Income receipts and accruals reconciled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Outstanding exceptions assigned and aged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NAV / statement release impact assessed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Maker-checker approval 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Per approved investment operations policy and valuation records.</w:t>
            </w:r>
          </w:p>
        </w:tc>
      </w:tr>
    </w:tbl>
    <w:p>
      <w:pPr>
        <w:spacing w:after="40"/>
      </w:pPr>
    </w:p>
    <w:p>
      <w:pPr>
        <w:pStyle w:val="Heading1"/>
        <w:spacing w:before="140" w:after="60"/>
      </w:pPr>
      <w:r>
        <w:t>4. Executive Reconciliation Summary</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Summarise the overall reconciliation status and clearly state whether the differences affect NAV, client statements, CIS returns, trustee reporting, SECZIM evidence packs or audit evidence.</w:t>
            </w:r>
          </w:p>
        </w:tc>
      </w:tr>
    </w:tbl>
    <w:p>
      <w:pPr>
        <w:spacing w:after="40"/>
      </w:pPr>
    </w:p>
    <w:p>
      <w:pPr>
        <w:spacing w:after="100"/>
      </w:pPr>
      <w:r>
        <w:rPr>
          <w:rFonts w:ascii="Aptos" w:hAnsi="Aptos"/>
          <w:b w:val="0"/>
          <w:i w:val="0"/>
        </w:rPr>
        <w:t xml:space="preserve">Overall reconciliation commentary: </w:t>
      </w:r>
      <w:r>
        <w:rPr>
          <w:rFonts w:ascii="Aptos" w:hAnsi="Aptos"/>
          <w:b w:val="0"/>
          <w:i w:val="0"/>
          <w:highlight w:val="yellow"/>
        </w:rPr>
        <w:t xml:space="preserve">Pass</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Area</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External 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Materiality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Open Exceptions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Securities holdings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Cash balances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Trades / settlements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Income / corporate actions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Subscriptions / redemptions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 units support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bl>
    <w:p>
      <w:pPr>
        <w:spacing w:after="40"/>
      </w:pPr>
    </w:p>
    <w:p>
      <w:pPr>
        <w:pStyle w:val="Heading1"/>
        <w:spacing w:before="140" w:after="60"/>
      </w:pPr>
      <w:r>
        <w:t>5. Securities Holdings Reconciliation</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Reconcile each security by instrument identifier, quantity/nominal amount, cost where relevant, market value, custodian/trustee quantity and difference. Suspended, stale-priced, manually overridden or unpriced instruments must be flagged.</w:t>
            </w:r>
          </w:p>
        </w:tc>
      </w:tr>
    </w:tbl>
    <w:p>
      <w:pPr>
        <w:spacing w:after="40"/>
      </w:pPr>
    </w:p>
    <w:tbl>
      <w:tblPr>
        <w:tblW w:type="auto" w:w="0"/>
        <w:jc w:val="center"/>
        <w:tblLayout w:type="autofit"/>
        <w:tblLook w:firstColumn="1" w:firstRow="1" w:lastColumn="0" w:lastRow="0" w:noHBand="0" w:noVBand="1" w:val="04A0"/>
      </w:tblPr>
      <w:tblGrid>
        <w:gridCol w:w="1200"/>
        <w:gridCol w:w="1200"/>
        <w:gridCol w:w="1200"/>
        <w:gridCol w:w="1200"/>
        <w:gridCol w:w="1200"/>
        <w:gridCol w:w="1200"/>
        <w:gridCol w:w="1200"/>
        <w:gridCol w:w="1200"/>
        <w:gridCol w:w="1200"/>
        <w:gridCol w:w="1200"/>
        <w:gridCol w:w="1200"/>
        <w:gridCol w:w="1200"/>
      </w:tblGrid>
      <w:tr>
        <w:trPr>
          <w:tblHeader w:val="true"/>
        </w:trP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Instrument</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ISIN / Code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Asset Class</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Currency</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Arcus Qty / Nominal</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Custodian Qty / Nominal</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Qty Difference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Arcus Market Value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External Market Value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Value Difference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Price Source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Status / Comment</w:t>
            </w:r>
          </w:p>
        </w:tc>
      </w:tr>
      <w:t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CBZ</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Equity</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Pass</w:t>
            </w:r>
          </w:p>
        </w:tc>
      </w:tr>
      <w:t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DLTA</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Equity</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Pass</w:t>
            </w:r>
          </w:p>
        </w:tc>
      </w:tr>
      <w:t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INN</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Equity</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Pass</w:t>
            </w:r>
          </w:p>
        </w:tc>
      </w:tr>
      <w:tr>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Total</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Pass</w:t>
            </w:r>
          </w:p>
        </w:tc>
      </w:tr>
    </w:tbl>
    <w:p>
      <w:pPr>
        <w:spacing w:after="40"/>
      </w:pPr>
    </w:p>
    <w:p>
      <w:pPr>
        <w:pStyle w:val="Heading1"/>
        <w:spacing w:before="140" w:after="60"/>
      </w:pPr>
      <w:r>
        <w:t>6. Cash Balance Reconciliation</w:t>
      </w: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Account Name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Bank / Custodian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Account Number / Ref</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Currency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Ledger Balance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Bank / Custodian Balance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Reconciling Items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Adjusted Balance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Ageing</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 / Comment</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Admin User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cmrfh6y42008xktfqed4r7o40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Admin User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cmrfh6y42008xktfqed4r7o40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Pass</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r>
    </w:tbl>
    <w:p>
      <w:pPr>
        <w:spacing w:after="40"/>
      </w:pPr>
    </w:p>
    <w:p>
      <w:pPr>
        <w:pStyle w:val="Heading1"/>
        <w:spacing w:before="140" w:after="60"/>
      </w:pPr>
      <w:r>
        <w:t>7. Trade and Settlement Reconciliation</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Use this section for unsettled purchases, sales, money market placements/maturities, bond transactions, custody movements and broker/custodian breaks. Settlement exceptions should link to the transaction report and reconciliation exception register.</w:t>
            </w:r>
          </w:p>
        </w:tc>
      </w:tr>
    </w:tbl>
    <w:p>
      <w:pPr>
        <w:spacing w:after="40"/>
      </w:pP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Trade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Transaction Ref</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Instrument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Type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Broker / Custodian 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Status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Owner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Resolution Action</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CBZ</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DLTA</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bl>
    <w:p>
      <w:pPr>
        <w:spacing w:after="40"/>
      </w:pPr>
    </w:p>
    <w:p>
      <w:pPr>
        <w:pStyle w:val="Heading1"/>
        <w:spacing w:before="140" w:after="60"/>
      </w:pPr>
      <w:r>
        <w:t>8. Income and Corporate Actions Reconciliation</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gridCol w:w="1440"/>
        <w:gridCol w:w="1440"/>
        <w:gridCol w:w="1440"/>
      </w:tblGrid>
      <w:tr>
        <w:trPr>
          <w:tblHeader w:val="true"/>
        </w:trP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Income / Event Type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Instrument / Issuer</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Record Date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Payment Date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Gross 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External Gross 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Tax / Withholding Difference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Net Difference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Accrued / Received Status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9. Subscriptions and Redemptions Cash Reconciliation</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gridCol w:w="1440"/>
        <w:gridCol w:w="1440"/>
        <w:gridCol w:w="1440"/>
      </w:tblGrid>
      <w:tr>
        <w:trPr>
          <w:tblHeader w:val="true"/>
        </w:trP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Investor / Unit-holder</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Transaction Type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Dealing Date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Date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Units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Cash 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Bank / Trustee Amount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Status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c>
          <w:tcPr>
            <w:tcW w:type="dxa" w:w="144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10. NAV and Units Cross-Check</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This section links the reconciliation output to NAV and investor statement controls. Any material unresolved difference that affects NAV, units, price, cash or income should block final report approval unless formally authorised under the exception process.</w:t>
            </w:r>
          </w:p>
        </w:tc>
      </w:tr>
    </w:tbl>
    <w:p>
      <w:pPr>
        <w:spacing w:after="40"/>
      </w:pP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NAV / Units Component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External / Independent Support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Impact on NAV per Unit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Approval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 portfolio value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Cash and cash equivalents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Accrued income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Liabilities and accruals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Closing units in issue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per unit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11. Exception Ageing and Root Cause Analysis</w:t>
      </w:r>
    </w:p>
    <w:tbl>
      <w:tblPr>
        <w:tblW w:type="auto" w:w="0"/>
        <w:jc w:val="center"/>
        <w:tblLayout w:type="autofit"/>
        <w:tblLook w:firstColumn="1" w:firstRow="1" w:lastColumn="0" w:lastRow="0" w:noHBand="0" w:noVBand="1" w:val="04A0"/>
      </w:tblPr>
      <w:tblGrid>
        <w:gridCol w:w="1600"/>
        <w:gridCol w:w="1600"/>
        <w:gridCol w:w="1600"/>
        <w:gridCol w:w="1600"/>
        <w:gridCol w:w="1600"/>
        <w:gridCol w:w="1600"/>
        <w:gridCol w:w="1600"/>
        <w:gridCol w:w="1600"/>
        <w:gridCol w:w="1600"/>
      </w:tblGrid>
      <w:tr>
        <w:trPr>
          <w:tblHeader w:val="true"/>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Exception Category</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0-7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8-30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31-60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61-90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&gt;90 Days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Total Difference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Root Cause Summary</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Escalation Required</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Securities holdings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No</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Cash balances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No</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Trade settlements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No</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Income / corporate actions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No</w:t>
            </w:r>
          </w:p>
        </w:tc>
      </w:tr>
      <w:t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Subscriptions / redemptions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No</w:t>
            </w:r>
          </w:p>
        </w:tc>
      </w:tr>
    </w:tbl>
    <w:p>
      <w:pPr>
        <w:spacing w:after="40"/>
      </w:pPr>
    </w:p>
    <w:p>
      <w:pPr>
        <w:pStyle w:val="Heading1"/>
        <w:spacing w:before="140" w:after="60"/>
      </w:pPr>
      <w:r>
        <w:t>12. Detailed Exception Register</w:t>
      </w: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Exception ID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Area</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Description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Amount / Quantity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Date Identified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Ageing</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Materiality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Owner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Target Resolution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Status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Evidence Ref</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Per approved investment operations policy and valuation records.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Per approved investment operations policy and valuation records.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r>
      <w:t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Per approved investment operations policy and valuation records.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r>
    </w:tbl>
    <w:p>
      <w:pPr>
        <w:spacing w:after="40"/>
      </w:pPr>
    </w:p>
    <w:p>
      <w:pPr>
        <w:pStyle w:val="Heading1"/>
        <w:spacing w:before="140" w:after="60"/>
      </w:pPr>
      <w:r>
        <w:t>13. Custodian / Trustee Confirmation</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Attach the custodian/trustee confirmation or statement where available. If the confirmation is pending, disclose this clearly and assign an owner and expected receipt date.</w:t>
            </w:r>
          </w:p>
        </w:tc>
      </w:tr>
    </w:tbl>
    <w:p>
      <w:pPr>
        <w:spacing w:after="40"/>
      </w:pPr>
    </w:p>
    <w:tbl>
      <w:tblPr>
        <w:tblW w:type="auto" w:w="0"/>
        <w:jc w:val="center"/>
        <w:tblLayout w:type="autofit"/>
        <w:tblLook w:firstColumn="1" w:firstRow="1" w:lastColumn="0" w:lastRow="0" w:noHBand="0" w:noVBand="1" w:val="04A0"/>
      </w:tblPr>
      <w:tblGrid>
        <w:gridCol w:w="7200"/>
        <w:gridCol w:w="7200"/>
      </w:tblGrid>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Custodian Statement Date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2026-07-10</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Trustee Confirmation Date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2026-07-10</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Statement / Confirmation Reference</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cmrfh6y42008xktfqed4r7o40</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Confirmed By</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Admin User</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Confirmation Status</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i w:val="0"/>
                <w:sz w:val="15"/>
                <w:highlight w:val="yellow"/>
              </w:rPr>
              <w:t xml:space="preserve">—</w:t>
            </w:r>
          </w:p>
        </w:tc>
      </w:tr>
      <w:tr>
        <w:tc>
          <w:tcPr>
            <w:tcW w:type="dxa" w:w="35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5"/>
              </w:rPr>
            </w:r>
            <w:r>
              <w:rPr>
                <w:rFonts w:ascii="Aptos" w:hAnsi="Aptos"/>
                <w:b/>
                <w:i w:val="0"/>
                <w:sz w:val="15"/>
              </w:rPr>
              <w:t>Outstanding External Queries</w:t>
            </w:r>
          </w:p>
        </w:tc>
        <w:tc>
          <w:tcPr>
            <w:tcW w:type="dxa" w:w="1087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i w:val="0"/>
                <w:sz w:val="15"/>
                <w:highlight w:val="yellow"/>
              </w:rPr>
              <w:t xml:space="preserve">Per approved investment operations policy and valuation records.</w:t>
            </w:r>
          </w:p>
        </w:tc>
      </w:tr>
    </w:tbl>
    <w:p>
      <w:pPr>
        <w:spacing w:after="40"/>
      </w:pPr>
    </w:p>
    <w:p>
      <w:pPr>
        <w:pStyle w:val="Heading1"/>
        <w:spacing w:before="140" w:after="60"/>
      </w:pPr>
      <w:r>
        <w:t>14. Supporting Documents Register</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Type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Name / 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Source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Date 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Uploaded 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Storage Link / Evidence 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Custodian statement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Admin User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Trustee confirmation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Admin User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Bank statement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Admin User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Broker statement / contract notes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Admin User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Investor registry / unit-holder extract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calculation file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Exception approval memo</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cmrfh6y42008xktfqed4r7o40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bl>
    <w:p>
      <w:pPr>
        <w:spacing w:after="40"/>
      </w:pPr>
    </w:p>
    <w:p>
      <w:pPr>
        <w:pStyle w:val="Heading1"/>
        <w:spacing w:before="140" w:after="60"/>
      </w:pPr>
      <w:r>
        <w:t>15. Management Representation and Control Statement</w:t>
      </w:r>
    </w:p>
    <w:p>
      <w:pPr>
        <w:spacing w:after="100"/>
      </w:pPr>
      <w:r>
        <w:rPr>
          <w:rFonts w:ascii="Aptos" w:hAnsi="Aptos"/>
          <w:b w:val="0"/>
          <w:i w:val="0"/>
        </w:rPr>
        <w:t xml:space="preserve">Based on the procedures performed and evidence reviewed, management confirms that the reconciliation for </w:t>
      </w:r>
      <w:r>
        <w:rPr>
          <w:rFonts w:ascii="Aptos" w:hAnsi="Aptos"/>
          <w:b w:val="0"/>
          <w:i w:val="0"/>
          <w:highlight w:val="yellow"/>
        </w:rPr>
        <w:t xml:space="preserve">Admin User</w:t>
      </w:r>
      <w:r>
        <w:rPr>
          <w:rFonts w:ascii="Aptos" w:hAnsi="Aptos"/>
          <w:b w:val="0"/>
          <w:i w:val="0"/>
        </w:rPr>
        <w:t xml:space="preserve"> as at </w:t>
      </w:r>
      <w:r>
        <w:rPr>
          <w:rFonts w:ascii="Aptos" w:hAnsi="Aptos"/>
          <w:b w:val="0"/>
          <w:i w:val="0"/>
          <w:highlight w:val="yellow"/>
        </w:rPr>
        <w:t xml:space="preserve">2026-07-10</w:t>
      </w:r>
      <w:r>
        <w:rPr>
          <w:rFonts w:ascii="Aptos" w:hAnsi="Aptos"/>
          <w:b w:val="0"/>
          <w:i w:val="0"/>
        </w:rPr>
        <w:t xml:space="preserve"> has been prepared from approved Arcus source data and compared against the relevant external records listed in this pack.</w:t>
      </w:r>
    </w:p>
    <w:p>
      <w:pPr>
        <w:spacing w:after="100"/>
      </w:pPr>
      <w:r>
        <w:rPr>
          <w:rFonts w:ascii="Aptos" w:hAnsi="Aptos"/>
          <w:b w:val="0"/>
          <w:i w:val="0"/>
        </w:rPr>
        <w:t>Unresolved differences have been recorded in the exception register, assigned to responsible owners and assessed for impact on NAV, investor statements, client statements, regulatory evidence packs and audit records. Final approval should not be granted where material unresolved exceptions remain without documented authorisation.</w:t>
      </w:r>
    </w:p>
    <w:p>
      <w:pPr>
        <w:spacing w:after="100"/>
      </w:pPr>
      <w:r>
        <w:rPr>
          <w:rFonts w:ascii="Aptos" w:hAnsi="Aptos"/>
          <w:b w:val="0"/>
          <w:i w:val="0"/>
        </w:rPr>
        <w:t xml:space="preserve">Management exception statement: </w:t>
      </w:r>
      <w:r>
        <w:rPr>
          <w:rFonts w:ascii="Aptos" w:hAnsi="Aptos"/>
          <w:b w:val="0"/>
          <w:i w:val="0"/>
          <w:highlight w:val="yellow"/>
        </w:rPr>
        <w:t xml:space="preserve">—</w:t>
      </w:r>
    </w:p>
    <w:p>
      <w:pPr>
        <w:pStyle w:val="Heading1"/>
        <w:spacing w:before="140" w:after="60"/>
      </w:pPr>
      <w:r>
        <w:t>16. Approval and Certification</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Role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Signature / Digital Approval</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Prepared By - Maker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Reviewed By - Operations Checker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Review</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Authorised Officer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r>
      <w:t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Custodian / Trustee Acknowledgement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bl>
    <w:p>
      <w:pPr>
        <w:spacing w:after="40"/>
      </w:pPr>
    </w:p>
    <w:p>
      <w:pPr>
        <w:pStyle w:val="Heading1"/>
        <w:spacing w:before="140" w:after="60"/>
      </w:pPr>
      <w:r>
        <w:t>17. Audit Trail and System Controls</w:t>
      </w:r>
    </w:p>
    <w:tbl>
      <w:tblPr>
        <w:tblW w:type="auto" w:w="0"/>
        <w:jc w:val="center"/>
        <w:tblLayout w:type="autofit"/>
        <w:tblLook w:firstColumn="1" w:firstRow="1" w:lastColumn="0" w:lastRow="0" w:noHBand="0" w:noVBand="1" w:val="04A0"/>
      </w:tblPr>
      <w:tblGrid>
        <w:gridCol w:w="7200"/>
        <w:gridCol w:w="7200"/>
      </w:tblGrid>
      <w:tr>
        <w:trPr>
          <w:tblHeader w:val="true"/>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Field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Detail</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Report Run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cmrfh6y42008xktfqed4r7o40</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Report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cmrfh6y42008xktfqed4r7o40</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Source Snapshot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cmrfh6y42008xktfqed4r7o40</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Reconciliation Batch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cmrfh6y42008xktfqed4r7o40</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Generated By</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2026-07-10T21:56:43.450Z</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Maker Review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2026-07-10T21:56:43.481Z</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Checker Approval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2026-07-10T21:56:43.481Z</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Approval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2026-07-10T21:56:43.481Z</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Exception Register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Portal / Archive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Document Hash / Checksum</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3ec445a447836f3e</w:t>
            </w:r>
          </w:p>
        </w:tc>
      </w:tr>
      <w:t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Reissue Reference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cmrfh6y42008xktfqed4r7o40</w:t>
            </w:r>
          </w:p>
        </w:tc>
      </w:tr>
    </w:tbl>
    <w:p>
      <w:pPr>
        <w:spacing w:after="40"/>
      </w:pPr>
    </w:p>
    <w:p>
      <w:pPr>
        <w:pStyle w:val="Heading1"/>
        <w:spacing w:before="140" w:after="60"/>
      </w:pPr>
      <w:r>
        <w:t>18. Standard Disclaimer</w:t>
      </w:r>
    </w:p>
    <w:p>
      <w:pPr>
        <w:spacing w:after="100"/>
      </w:pPr>
      <w:r>
        <w:rPr>
          <w:rFonts w:ascii="Aptos" w:hAnsi="Aptos"/>
          <w:b w:val="0"/>
          <w:i w:val="0"/>
        </w:rPr>
        <w:t>This reconciliation template is intended for operational control, review and evidentiary purposes. It is generated from system records and external documents made available to the preparer as at the reconciliation date. It should be read together with the relevant custodian statements, trustee confirmations, bank statements, broker records, investment mandate, scheme documents, valuation policy and approved exception records.</w:t>
      </w:r>
    </w:p>
    <w:p>
      <w:pPr>
        <w:spacing w:after="100"/>
      </w:pPr>
      <w:r>
        <w:rPr>
          <w:rFonts w:ascii="Aptos" w:hAnsi="Aptos"/>
          <w:b w:val="0"/>
          <w:i w:val="0"/>
        </w:rPr>
        <w:t>This document does not constitute investment advice, tax advice, legal advice, an audit opinion or a substitute for any official regulatory filing. Any regulatory submission, trustee certification, audit confirmation or client-facing statement must be approved through the applicable authorised process.</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val="0"/>
              <w:i w:val="0"/>
              <w:color w:val="6B7280"/>
              <w:sz w:val="14"/>
            </w:rPr>
            <w:t>Confidential Custodian / Trustee Reconciliation | System-generated from approved source data</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6B7280"/>
              <w:sz w:val="14"/>
            </w:rPr>
            <w:t xml:space="preserve">Document checksum: </w:t>
          </w:r>
          <w:r>
            <w:rPr>
              <w:rFonts w:ascii="Aptos" w:hAnsi="Aptos"/>
              <w:b w:val="0"/>
              <w:i w:val="0"/>
              <w:highlight w:val="yellow"/>
            </w:rPr>
            <w:t xml:space="preserve">3ec445a447836f3e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i w:val="0"/>
              <w:color w:val="1688E8"/>
              <w:sz w:val="20"/>
            </w:rPr>
            <w:t>■ ARCUS</w:t>
          </w:r>
          <w:r>
            <w:rPr>
              <w:rFonts w:ascii="Aptos" w:hAnsi="Aptos"/>
              <w:b/>
              <w:i w:val="0"/>
              <w:color w:val="071426"/>
              <w:sz w:val="20"/>
            </w:rPr>
            <w:t xml:space="preserve"> REPORTING TEMPLATE</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071426"/>
              <w:sz w:val="15"/>
            </w:rPr>
            <w:t>Custodian / Trustee Reconciliation | CIS / Unit Trust / Asset Management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4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142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1426"/>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