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68AE8"/>
          <w:sz w:val="24"/>
        </w:rPr>
        <w:t>■</w:t>
      </w:r>
      <w:r>
        <w:rPr>
          <w:b/>
          <w:i w:val="0"/>
          <w:color w:val="071A2E"/>
          <w:sz w:val="18"/>
        </w:rPr>
        <w:t xml:space="preserve"> ARCUS REPORTING TEMPLATE</w:t>
      </w:r>
    </w:p>
    <w:tbl>
      <w:tblPr>
        <w:tblW w:type="auto" w:w="0"/>
        <w:jc w:val="center"/>
        <w:tblLook w:firstColumn="1" w:firstRow="1" w:lastColumn="0" w:lastRow="0" w:noHBand="0" w:noVBand="1" w:val="04A0"/>
      </w:tblPr>
      <w:tblGrid>
        <w:gridCol w:w="15478"/>
      </w:tblGrid>
      <w:tr>
        <w:tc>
          <w:tcPr>
            <w:tcW w:type="dxa" w:w="15478"/>
            <w:shd w:fill="EAF4FF"/>
            <w:tcBorders>
              <w:top w:sz="10" w:val="single" w:color="B7D7F2"/>
              <w:left w:sz="10" w:val="single" w:color="B7D7F2"/>
              <w:bottom w:sz="10" w:val="single" w:color="B7D7F2"/>
              <w:right w:sz="10" w:val="single" w:color="B7D7F2"/>
            </w:tcBorders>
            <w:tcMar>
              <w:top w:w="260" w:type="dxa"/>
              <w:start w:w="260" w:type="dxa"/>
              <w:bottom w:w="260" w:type="dxa"/>
              <w:end w:w="260" w:type="dxa"/>
            </w:tcMar>
          </w:tcPr>
          <w:p>
            <w:pPr>
              <w:spacing w:after="0" w:line="240" w:lineRule="auto"/>
              <w:jc w:val="center"/>
            </w:pPr>
            <w:r>
              <w:rPr>
                <w:b/>
                <w:i w:val="0"/>
                <w:color w:val="071A2E"/>
                <w:sz w:val="44"/>
              </w:rPr>
              <w:t>RECONCILIATION EXCEPTION REPORT</w:t>
            </w:r>
          </w:p>
          <w:p>
            <w:pPr>
              <w:spacing w:after="0" w:line="240" w:lineRule="auto"/>
              <w:jc w:val="center"/>
            </w:pPr>
            <w:r>
              <w:rPr>
                <w:b w:val="0"/>
                <w:i w:val="0"/>
                <w:color w:val="5B6773"/>
                <w:sz w:val="22"/>
              </w:rPr>
              <w:t>Asset Manager Reporting Workspace</w:t>
            </w:r>
          </w:p>
          <w:p>
            <w:pPr>
              <w:spacing w:after="0" w:line="240" w:lineRule="auto"/>
              <w:jc w:val="center"/>
            </w:pPr>
            <w:r>
              <w:rPr>
                <w:b w:val="0"/>
                <w:i w:val="0"/>
                <w:color w:val="071A2E"/>
                <w:sz w:val="20"/>
                <w:highlight w:val="yellow"/>
              </w:rPr>
              <w:t xml:space="preserve">Arcus Asset Management | — | —</w:t>
            </w:r>
          </w:p>
        </w:tc>
      </w:tr>
    </w:tbl>
    <w:p>
      <w:pPr>
        <w:spacing w:before="100" w:after="80"/>
      </w:pPr>
      <w:r>
        <w:rPr>
          <w:b/>
          <w:color w:val="168AE8"/>
          <w:sz w:val="21"/>
        </w:rPr>
        <w:t>Letterhead and Report Identification</w:t>
      </w:r>
    </w:p>
    <w:tbl>
      <w:tblPr>
        <w:tblW w:type="auto" w:w="0"/>
        <w:jc w:val="center"/>
        <w:tblLook w:firstColumn="1" w:firstRow="1" w:lastColumn="0" w:lastRow="0" w:noHBand="0" w:noVBand="1" w:val="04A0"/>
      </w:tblPr>
      <w:tblGrid>
        <w:gridCol w:w="3869"/>
        <w:gridCol w:w="3869"/>
        <w:gridCol w:w="3869"/>
        <w:gridCol w:w="3869"/>
      </w:tblGrid>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Logo</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Entity</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Arcus Asset Management</w:t>
            </w:r>
          </w:p>
        </w:tc>
      </w:tr>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Registered office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Harare, Zimbabwe</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Licence / Registration</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r>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Email / Telephone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Website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https://arcus.co.zw</w:t>
            </w:r>
          </w:p>
        </w:tc>
      </w:tr>
      <w:t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Prepared for</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Admin User</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Document status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r>
    </w:tbl>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EDITOR INSTRUCTION - TEMPLATE USE</w:t>
            </w:r>
          </w:p>
          <w:p>
            <w:pPr>
              <w:spacing w:after="0" w:line="240" w:lineRule="auto"/>
            </w:pPr>
            <w:r>
              <w:rPr>
                <w:b w:val="0"/>
                <w:i w:val="0"/>
                <w:color w:val="071A2E"/>
                <w:sz w:val="16"/>
              </w:rPr>
              <w:t>Yellow highlighted text is an editable placeholder to be replaced by Arcus-generated data or approved user input. Blue instruction boxes are drafting guidance and should be removed before the final report is issued. Plain black text is standard report wording and should only be changed with authorised legal, compliance or operational approval.</w:t>
            </w:r>
          </w:p>
        </w:tc>
      </w:tr>
    </w:tbl>
    <w:p>
      <w:pPr>
        <w:spacing w:after="0"/>
      </w:pPr>
    </w:p>
    <w:p>
      <w:pPr>
        <w:spacing w:before="100" w:after="80"/>
      </w:pPr>
      <w:r>
        <w:rPr>
          <w:b/>
          <w:color w:val="168AE8"/>
          <w:sz w:val="21"/>
        </w:rPr>
        <w:t>Document Control</w:t>
      </w:r>
    </w:p>
    <w:tbl>
      <w:tblPr>
        <w:tblW w:type="auto" w:w="0"/>
        <w:jc w:val="center"/>
        <w:tblLook w:firstColumn="1" w:firstRow="1" w:lastColumn="0" w:lastRow="0" w:noHBand="0" w:noVBand="1" w:val="04A0"/>
      </w:tblPr>
      <w:tblGrid>
        <w:gridCol w:w="7739"/>
        <w:gridCol w:w="7739"/>
      </w:tblGrid>
      <w:tr>
        <w:trPr>
          <w:tblHeader w:val="true"/>
        </w:trPr>
        <w:tc>
          <w:tcPr>
            <w:tcW w:type="dxa" w:w="2835"/>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Field</w:t>
            </w:r>
          </w:p>
        </w:tc>
        <w:tc>
          <w:tcPr>
            <w:tcW w:type="dxa" w:w="1133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5"/>
              </w:rPr>
              <w:t>Detail</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 type</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Asset manager entity</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Client portfolio / scope</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Reporting period</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2026-01-01 to 2026-03-31</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Valuation date</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2026-07-10</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Base currency</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USD</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Reporting currency</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USD</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Prepared by / maker</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Admin User</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Checker approver</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Admin User</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 version</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1.0</w:t>
            </w:r>
          </w:p>
        </w:tc>
      </w:tr>
      <w:tr>
        <w:tc>
          <w:tcPr>
            <w:tcW w:type="dxa" w:w="2835"/>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5"/>
              </w:rPr>
              <w:t>Report run ID</w:t>
            </w:r>
          </w:p>
        </w:tc>
        <w:tc>
          <w:tcPr>
            <w:tcW w:type="dxa" w:w="1133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5"/>
                <w:highlight w:val="yellow"/>
              </w:rPr>
              <w:t xml:space="preserve">cmrfh6wda008uktfqh9cvxubs</w:t>
            </w:r>
          </w:p>
        </w:tc>
      </w:tr>
    </w:tbl>
    <w:p>
      <w:pPr>
        <w:spacing w:before="100" w:after="80"/>
      </w:pPr>
      <w:r>
        <w:rPr>
          <w:b/>
          <w:color w:val="168AE8"/>
          <w:sz w:val="21"/>
        </w:rPr>
        <w:t>Confidentiality and Reliance Notice</w:t>
      </w:r>
    </w:p>
    <w:p>
      <w:pPr>
        <w:spacing w:after="80" w:line="252" w:lineRule="auto"/>
      </w:pPr>
      <w:r>
        <w:rPr>
          <w:b w:val="0"/>
          <w:i w:val="0"/>
          <w:color w:val="000000"/>
          <w:sz w:val="17"/>
        </w:rPr>
        <w:t>This Reconciliation Exception Report is confidential and is prepared for the internal use of the asset manager, authorised operations personnel, compliance officers, auditors and other approved recipients. It records reconciliation differences identified between Arcus internal portfolio records and approved external evidence, including broker statements, custodian records, bank statements and other authorised source documents.</w:t>
      </w:r>
    </w:p>
    <w:p>
      <w:pPr>
        <w:spacing w:after="80" w:line="252" w:lineRule="auto"/>
      </w:pPr>
      <w:r>
        <w:rPr>
          <w:b w:val="0"/>
          <w:i w:val="0"/>
          <w:color w:val="000000"/>
          <w:sz w:val="17"/>
        </w:rPr>
        <w:t>This report is a control document. It does not amend client records, portfolio values, NAV, accounting entries, security prices, holdings or cash balances. Any adjustment required to resolve an exception must be processed in the relevant approved source module and routed through the applicable review and approval workflow.</w:t>
      </w:r>
    </w:p>
    <w:p>
      <w:r>
        <w:br w:type="page"/>
      </w:r>
    </w:p>
    <w:p>
      <w:pPr>
        <w:spacing w:before="160" w:after="80"/>
        <w:pBdr>
          <w:bottom w:val="single" w:sz="6" w:space="1" w:color="D6DEE6"/>
        </w:pBdr>
      </w:pPr>
      <w:r>
        <w:rPr>
          <w:b/>
          <w:color w:val="071A2E"/>
          <w:sz w:val="28"/>
        </w:rPr>
        <w:t>1. Report Purpose and Basis of Preparation</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PURPOSE</w:t>
            </w:r>
          </w:p>
          <w:p>
            <w:pPr>
              <w:spacing w:after="0" w:line="240" w:lineRule="auto"/>
            </w:pPr>
            <w:r>
              <w:rPr>
                <w:b w:val="0"/>
                <w:i w:val="0"/>
                <w:color w:val="071A2E"/>
                <w:sz w:val="16"/>
              </w:rPr>
              <w:t>Use this section to state why the reconciliation was performed, which records were compared and whether the report supports client reporting, regulatory evidence, audit support or quarter-close controls.</w:t>
            </w:r>
          </w:p>
        </w:tc>
      </w:tr>
    </w:tbl>
    <w:p>
      <w:pPr>
        <w:spacing w:after="0"/>
      </w:pPr>
    </w:p>
    <w:p>
      <w:pPr>
        <w:spacing w:after="80" w:line="252" w:lineRule="auto"/>
      </w:pPr>
      <w:r>
        <w:rPr>
          <w:b w:val="0"/>
          <w:i w:val="0"/>
          <w:color w:val="000000"/>
          <w:sz w:val="17"/>
        </w:rPr>
        <w:t>The purpose of this report is to identify, classify, age, assign and track reconciliation exceptions arising from the comparison of internal Arcus records against approved external source records for the reporting period.</w:t>
      </w:r>
    </w:p>
    <w:p>
      <w:pPr>
        <w:spacing w:after="40"/>
        <w:ind w:left="255" w:hanging="142"/>
      </w:pPr>
      <w:r>
        <w:rPr>
          <w:b/>
          <w:i w:val="0"/>
          <w:color w:val="168AE8"/>
          <w:sz w:val="16"/>
        </w:rPr>
        <w:t xml:space="preserve">• </w:t>
      </w:r>
      <w:r>
        <w:rPr>
          <w:b/>
          <w:i w:val="0"/>
          <w:color w:val="000000"/>
          <w:sz w:val="16"/>
        </w:rPr>
        <w:t xml:space="preserve">Internal records compared: </w:t>
      </w:r>
      <w:r>
        <w:rPr>
          <w:b w:val="0"/>
          <w:i w:val="0"/>
          <w:color w:val="000000"/>
          <w:sz w:val="16"/>
        </w:rPr>
        <w:t xml:space="preserve">USD 0.00</w:t>
      </w:r>
    </w:p>
    <w:p>
      <w:pPr>
        <w:spacing w:after="40"/>
        <w:ind w:left="255" w:hanging="142"/>
      </w:pPr>
      <w:r>
        <w:rPr>
          <w:b/>
          <w:i w:val="0"/>
          <w:color w:val="168AE8"/>
          <w:sz w:val="16"/>
        </w:rPr>
        <w:t xml:space="preserve">• </w:t>
      </w:r>
      <w:r>
        <w:rPr>
          <w:b/>
          <w:i w:val="0"/>
          <w:color w:val="000000"/>
          <w:sz w:val="16"/>
        </w:rPr>
        <w:t xml:space="preserve">External records compared: </w:t>
      </w:r>
      <w:r>
        <w:rPr>
          <w:b w:val="0"/>
          <w:i w:val="0"/>
          <w:color w:val="000000"/>
          <w:sz w:val="16"/>
        </w:rPr>
        <w:t xml:space="preserve">—</w:t>
      </w:r>
    </w:p>
    <w:p>
      <w:pPr>
        <w:spacing w:after="40"/>
        <w:ind w:left="255" w:hanging="142"/>
      </w:pPr>
      <w:r>
        <w:rPr>
          <w:b/>
          <w:i w:val="0"/>
          <w:color w:val="168AE8"/>
          <w:sz w:val="16"/>
        </w:rPr>
        <w:t xml:space="preserve">• </w:t>
      </w:r>
      <w:r>
        <w:rPr>
          <w:b/>
          <w:i w:val="0"/>
          <w:color w:val="000000"/>
          <w:sz w:val="16"/>
        </w:rPr>
        <w:t xml:space="preserve">Reconciliation date: </w:t>
      </w:r>
      <w:r>
        <w:rPr>
          <w:b w:val="0"/>
          <w:i w:val="0"/>
          <w:color w:val="000000"/>
          <w:sz w:val="16"/>
        </w:rPr>
        <w:t xml:space="preserve">2026-07-10</w:t>
      </w:r>
    </w:p>
    <w:p>
      <w:pPr>
        <w:spacing w:after="40"/>
        <w:ind w:left="255" w:hanging="142"/>
      </w:pPr>
      <w:r>
        <w:rPr>
          <w:b/>
          <w:i w:val="0"/>
          <w:color w:val="168AE8"/>
          <w:sz w:val="16"/>
        </w:rPr>
        <w:t xml:space="preserve">• </w:t>
      </w:r>
      <w:r>
        <w:rPr>
          <w:b/>
          <w:i w:val="0"/>
          <w:color w:val="000000"/>
          <w:sz w:val="16"/>
        </w:rPr>
        <w:t xml:space="preserve">Materiality threshold: </w:t>
      </w:r>
      <w:r>
        <w:rPr>
          <w:b w:val="0"/>
          <w:i w:val="0"/>
          <w:color w:val="000000"/>
          <w:sz w:val="16"/>
        </w:rPr>
        <w:t xml:space="preserve">USD 0.00</w:t>
      </w:r>
    </w:p>
    <w:p>
      <w:pPr>
        <w:spacing w:after="40"/>
        <w:ind w:left="255" w:hanging="142"/>
      </w:pPr>
      <w:r>
        <w:rPr>
          <w:b/>
          <w:i w:val="0"/>
          <w:color w:val="168AE8"/>
          <w:sz w:val="16"/>
        </w:rPr>
        <w:t xml:space="preserve">• </w:t>
      </w:r>
      <w:r>
        <w:rPr>
          <w:b/>
          <w:i w:val="0"/>
          <w:color w:val="000000"/>
          <w:sz w:val="16"/>
        </w:rPr>
        <w:t xml:space="preserve">Tolerance rules: </w:t>
      </w:r>
      <w:r>
        <w:rPr>
          <w:b w:val="0"/>
          <w:i w:val="0"/>
          <w:color w:val="000000"/>
          <w:sz w:val="16"/>
        </w:rPr>
        <w:t xml:space="preserve">—</w:t>
      </w:r>
    </w:p>
    <w:p>
      <w:pPr>
        <w:spacing w:after="40"/>
        <w:ind w:left="255" w:hanging="142"/>
      </w:pPr>
      <w:r>
        <w:rPr>
          <w:b/>
          <w:i w:val="0"/>
          <w:color w:val="168AE8"/>
          <w:sz w:val="16"/>
        </w:rPr>
        <w:t xml:space="preserve">• </w:t>
      </w:r>
      <w:r>
        <w:rPr>
          <w:b/>
          <w:i w:val="0"/>
          <w:color w:val="000000"/>
          <w:sz w:val="16"/>
        </w:rPr>
        <w:t xml:space="preserve">Output use: </w:t>
      </w:r>
      <w:r>
        <w:rPr>
          <w:b w:val="0"/>
          <w:i w:val="0"/>
          <w:color w:val="000000"/>
          <w:sz w:val="16"/>
        </w:rPr>
        <w:t xml:space="preserve">—</w:t>
      </w:r>
    </w:p>
    <w:p>
      <w:pPr>
        <w:spacing w:before="160" w:after="80"/>
        <w:pBdr>
          <w:bottom w:val="single" w:sz="6" w:space="1" w:color="D6DEE6"/>
        </w:pBdr>
      </w:pPr>
      <w:r>
        <w:rPr>
          <w:b/>
          <w:color w:val="071A2E"/>
          <w:sz w:val="28"/>
        </w:rPr>
        <w:t>2. Reconciliation Scope</w:t>
      </w:r>
    </w:p>
    <w:tbl>
      <w:tblPr>
        <w:tblW w:type="auto" w:w="0"/>
        <w:jc w:val="center"/>
        <w:tblLook w:firstColumn="1" w:firstRow="1" w:lastColumn="0" w:lastRow="0" w:noHBand="0" w:noVBand="1" w:val="04A0"/>
      </w:tblPr>
      <w:tblGrid>
        <w:gridCol w:w="2580"/>
        <w:gridCol w:w="2580"/>
        <w:gridCol w:w="2580"/>
        <w:gridCol w:w="2580"/>
        <w:gridCol w:w="2580"/>
        <w:gridCol w:w="2580"/>
      </w:tblGrid>
      <w:tr>
        <w:trPr>
          <w:tblHeader w:val="true"/>
        </w:trPr>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Area</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Internal source</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External source</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Frequency</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Status</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Owner</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Holdings / positions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Trades / settlements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Cash balances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Income and coupons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Fees and expenses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r>
      <w:tr>
        <w:trPr>
          <w:cantSplit/>
        </w:trPr>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NAV / portfolio value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FX rates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ZIMRATE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bl>
    <w:p>
      <w:pPr>
        <w:spacing w:before="160" w:after="80"/>
        <w:pBdr>
          <w:bottom w:val="single" w:sz="6" w:space="1" w:color="D6DEE6"/>
        </w:pBdr>
      </w:pPr>
      <w:r>
        <w:rPr>
          <w:b/>
          <w:color w:val="071A2E"/>
          <w:sz w:val="28"/>
        </w:rPr>
        <w:t>3. Executive Summary of Exceptions</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EXECUTIVE SUMMARY</w:t>
            </w:r>
          </w:p>
          <w:p>
            <w:pPr>
              <w:spacing w:after="0" w:line="240" w:lineRule="auto"/>
            </w:pPr>
            <w:r>
              <w:rPr>
                <w:b w:val="0"/>
                <w:i w:val="0"/>
                <w:color w:val="071A2E"/>
                <w:sz w:val="16"/>
              </w:rPr>
              <w:t>Complete this summary after the detailed exception register is populated. It should be clear enough for a checker, auditor or compliance officer to understand the unresolved risk at a glance.</w:t>
            </w:r>
          </w:p>
        </w:tc>
      </w:tr>
    </w:tbl>
    <w:p>
      <w:pPr>
        <w:spacing w:after="0"/>
      </w:pP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Metric</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Current period</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Prior period</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Movement</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Commentary</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Total reconciliation breaks identified</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Open breaks at report date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Resolved during period</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Material unresolved 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NAV-impacting 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Client-statement-impacting breaks</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Regulatory / compliance-impacting breaks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Generated from approved investment operations records.</w:t>
            </w:r>
          </w:p>
        </w:tc>
      </w:tr>
    </w:tbl>
    <w:p>
      <w:pPr>
        <w:spacing w:before="160" w:after="80"/>
        <w:pBdr>
          <w:bottom w:val="single" w:sz="6" w:space="1" w:color="D6DEE6"/>
        </w:pBdr>
      </w:pPr>
      <w:r>
        <w:rPr>
          <w:b/>
          <w:color w:val="071A2E"/>
          <w:sz w:val="28"/>
        </w:rPr>
        <w:t>4. Exception Dashboard</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Exception category</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Count</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Gross value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Net NAV impact</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Oldest age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Materiality status</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Resolution status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Holdings / position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Cash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Trade / settlement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Income / coupon / dividend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Fee / expense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Price / valuation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FX / currency breaks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r>
        <w:trPr>
          <w:cantSplit/>
        </w:trPr>
        <w:tc>
          <w:tcPr>
            <w:tcW w:type="dxa" w:w="2211"/>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Corporate action breaks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Pass</w:t>
            </w:r>
          </w:p>
        </w:tc>
      </w:tr>
    </w:tbl>
    <w:p>
      <w:r>
        <w:br w:type="page"/>
      </w:r>
    </w:p>
    <w:p>
      <w:pPr>
        <w:spacing w:before="160" w:after="80"/>
        <w:pBdr>
          <w:bottom w:val="single" w:sz="6" w:space="1" w:color="D6DEE6"/>
        </w:pBdr>
      </w:pPr>
      <w:r>
        <w:rPr>
          <w:b/>
          <w:color w:val="071A2E"/>
          <w:sz w:val="28"/>
        </w:rPr>
        <w:t>5. Detailed Reconciliation Exception Register</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DETAILED REGISTER</w:t>
            </w:r>
          </w:p>
          <w:p>
            <w:pPr>
              <w:spacing w:after="0" w:line="240" w:lineRule="auto"/>
            </w:pPr>
            <w:r>
              <w:rPr>
                <w:b w:val="0"/>
                <w:i w:val="0"/>
                <w:color w:val="071A2E"/>
                <w:sz w:val="16"/>
              </w:rPr>
              <w:t>Populate one row per exception. Do not net unrelated breaks together. Every exception should have a source reference, owner, ageing, proposed resolution and evidence reference. Where an adjustment is required, record the source module where the adjustment must be processed.</w:t>
            </w:r>
          </w:p>
        </w:tc>
      </w:tr>
    </w:tbl>
    <w:p>
      <w:pPr>
        <w:spacing w:after="0"/>
      </w:pPr>
    </w:p>
    <w:tbl>
      <w:tblPr>
        <w:tblW w:type="auto" w:w="0"/>
        <w:jc w:val="center"/>
        <w:tblLook w:firstColumn="1" w:firstRow="1" w:lastColumn="0" w:lastRow="0" w:noHBand="0" w:noVBand="1" w:val="04A0"/>
      </w:tblPr>
      <w:tblGrid>
        <w:gridCol w:w="1191"/>
        <w:gridCol w:w="1191"/>
        <w:gridCol w:w="1191"/>
        <w:gridCol w:w="1191"/>
        <w:gridCol w:w="1191"/>
        <w:gridCol w:w="1191"/>
        <w:gridCol w:w="1191"/>
        <w:gridCol w:w="1191"/>
        <w:gridCol w:w="1191"/>
        <w:gridCol w:w="1191"/>
        <w:gridCol w:w="1191"/>
        <w:gridCol w:w="1191"/>
        <w:gridCol w:w="1191"/>
      </w:tblGrid>
      <w:tr>
        <w:trPr>
          <w:tblHeader w:val="true"/>
        </w:trPr>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Exception ID</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Portfolio / account</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Break category</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Instrument / cash account</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Internal value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External value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Difference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Ageing</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Root cause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Proposed resolution</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Owner</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Due date</w:t>
            </w:r>
          </w:p>
        </w:tc>
        <w:tc>
          <w:tcPr>
            <w:tcW w:type="dxa" w:w="119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1"/>
              </w:rPr>
              <w:t>Status</w:t>
            </w:r>
          </w:p>
        </w:tc>
      </w:tr>
      <w:tr>
        <w:trPr>
          <w:cantSplit/>
        </w:trPr>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 xml:space="preserve">cmrfh6wda008uktfqh9cvxubs</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Arcus Asset Management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2026-07-10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r>
      <w:tr>
        <w:trPr>
          <w:cantSplit/>
        </w:trPr>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 xml:space="preserve">cmrfh6wda008uktfqh9cvxubs</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Arcus Asset Management</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2026-07-10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r>
      <w:tr>
        <w:trPr>
          <w:cantSplit/>
        </w:trPr>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 xml:space="preserve">cmrfh6wda008uktfqh9cvxubs</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Arcus Asset Management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2026-07-10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r>
      <w:tr>
        <w:trPr>
          <w:cantSplit/>
        </w:trPr>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 xml:space="preserve">cmrfh6wda008uktfqh9cvxubs</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Arcus Asset Management</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2026-07-10</w:t>
            </w:r>
          </w:p>
        </w:tc>
        <w:tc>
          <w:tcPr>
            <w:tcW w:type="dxa" w:w="119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r>
      <w:tr>
        <w:trPr>
          <w:cantSplit/>
        </w:trPr>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1"/>
                <w:highlight w:val="yellow"/>
              </w:rPr>
              <w:t xml:space="preserve">cmrfh6wda008uktfqh9cvxubs</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USD 0.00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Arcus Asset Management</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2026-07-10</w:t>
            </w:r>
          </w:p>
        </w:tc>
        <w:tc>
          <w:tcPr>
            <w:tcW w:type="dxa" w:w="119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1"/>
                <w:highlight w:val="yellow"/>
              </w:rPr>
              <w:t xml:space="preserve">—</w:t>
            </w:r>
          </w:p>
        </w:tc>
      </w:tr>
    </w:tbl>
    <w:p>
      <w:pPr>
        <w:spacing w:before="160" w:after="80"/>
        <w:pBdr>
          <w:bottom w:val="single" w:sz="6" w:space="1" w:color="D6DEE6"/>
        </w:pBdr>
      </w:pPr>
      <w:r>
        <w:rPr>
          <w:b/>
          <w:color w:val="071A2E"/>
          <w:sz w:val="28"/>
        </w:rPr>
        <w:t>6. Materiality and Impact Assessment</w:t>
      </w: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Impact area</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Assessment result</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Amount / exposure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Report effect</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Required 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NAV 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Client statement impact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0.00%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Regulatory / SECZIM support 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Audit / financial reporting impact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0.00%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Mandate compliance impact</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0.00%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bl>
    <w:p>
      <w:pPr>
        <w:spacing w:before="160" w:after="80"/>
        <w:pBdr>
          <w:bottom w:val="single" w:sz="6" w:space="1" w:color="D6DEE6"/>
        </w:pBdr>
      </w:pPr>
      <w:r>
        <w:rPr>
          <w:b/>
          <w:color w:val="071A2E"/>
          <w:sz w:val="28"/>
        </w:rPr>
        <w:t>7. Ageing Analysis</w:t>
      </w:r>
    </w:p>
    <w:tbl>
      <w:tblPr>
        <w:tblW w:type="auto" w:w="0"/>
        <w:jc w:val="center"/>
        <w:tblLook w:firstColumn="1" w:firstRow="1" w:lastColumn="0" w:lastRow="0" w:noHBand="0" w:noVBand="1" w:val="04A0"/>
      </w:tblPr>
      <w:tblGrid>
        <w:gridCol w:w="2580"/>
        <w:gridCol w:w="2580"/>
        <w:gridCol w:w="2580"/>
        <w:gridCol w:w="2580"/>
        <w:gridCol w:w="2580"/>
        <w:gridCol w:w="2580"/>
      </w:tblGrid>
      <w:tr>
        <w:trPr>
          <w:tblHeader w:val="true"/>
        </w:trPr>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Ageing bucket</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Number of exceptions</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Gross difference</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Net NAV impact</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Material exceptions</w:t>
            </w:r>
          </w:p>
        </w:tc>
        <w:tc>
          <w:tcPr>
            <w:tcW w:type="dxa" w:w="2580"/>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Management action</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0-30 days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31-60 days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61-90 days</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More than 90 days</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w:t>
            </w:r>
          </w:p>
        </w:tc>
      </w:tr>
      <w:tr>
        <w:trPr>
          <w:cantSplit/>
        </w:trPr>
        <w:tc>
          <w:tcPr>
            <w:tcW w:type="dxa" w:w="2580"/>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Total</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8</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USD 0.00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0</w:t>
            </w:r>
          </w:p>
        </w:tc>
        <w:tc>
          <w:tcPr>
            <w:tcW w:type="dxa" w:w="2580"/>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w:t>
            </w:r>
          </w:p>
        </w:tc>
      </w:tr>
    </w:tbl>
    <w:p>
      <w:pPr>
        <w:spacing w:before="160" w:after="80"/>
        <w:pBdr>
          <w:bottom w:val="single" w:sz="6" w:space="1" w:color="D6DEE6"/>
        </w:pBdr>
      </w:pPr>
      <w:r>
        <w:rPr>
          <w:b/>
          <w:color w:val="071A2E"/>
          <w:sz w:val="28"/>
        </w:rPr>
        <w:t>8. Root Cause Analysis</w:t>
      </w: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Root cause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Typical examples</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Number of exceptions</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Control weakness noted</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Preventative action</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Timing difference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Missing source document</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Incorrect security master data</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Manual override / data capture error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Corporate action mismatch</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External party error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bl>
    <w:p>
      <w:pPr>
        <w:spacing w:before="160" w:after="80"/>
        <w:pBdr>
          <w:bottom w:val="single" w:sz="6" w:space="1" w:color="D6DEE6"/>
        </w:pBdr>
      </w:pPr>
      <w:r>
        <w:rPr>
          <w:b/>
          <w:color w:val="071A2E"/>
          <w:sz w:val="28"/>
        </w:rPr>
        <w:t>9. Resolution Action Tracker</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Action ID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Related exception ID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Action required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Responsible owner</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Target date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Evidence required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Current status</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Arcus Asset Management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cmrfh6wda008uktfqh9cvxubs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cmrfh6wda008uktfqh9cvxubs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Arcus Asset Management</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Arcus Asset Management</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bl>
    <w:p>
      <w:r>
        <w:br w:type="page"/>
      </w:r>
    </w:p>
    <w:p>
      <w:pPr>
        <w:spacing w:before="160" w:after="80"/>
        <w:pBdr>
          <w:bottom w:val="single" w:sz="6" w:space="1" w:color="D6DEE6"/>
        </w:pBdr>
      </w:pPr>
      <w:r>
        <w:rPr>
          <w:b/>
          <w:color w:val="071A2E"/>
          <w:sz w:val="28"/>
        </w:rPr>
        <w:t>10. Unresolved Exceptions Requiring Escalation</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ESCALATION</w:t>
            </w:r>
          </w:p>
          <w:p>
            <w:pPr>
              <w:spacing w:after="0" w:line="240" w:lineRule="auto"/>
            </w:pPr>
            <w:r>
              <w:rPr>
                <w:b w:val="0"/>
                <w:i w:val="0"/>
                <w:color w:val="071A2E"/>
                <w:sz w:val="16"/>
              </w:rPr>
              <w:t>List only material, aged, recurring, regulatory, NAV-impacting or client-statement-impacting exceptions. The checker should not approve publication of impacted statements unless the exception is resolved or formally authorised with adequate disclosure.</w:t>
            </w:r>
          </w:p>
        </w:tc>
      </w:tr>
    </w:tbl>
    <w:p>
      <w:pPr>
        <w:spacing w:after="0"/>
      </w:pP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Exception ID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Reason for escalation</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Amount / exposure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Business impact</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Escalated to</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Decision required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Deadline</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cmrfh6wda008uktfqh9cvxubs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USD 0.00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bl>
    <w:p>
      <w:pPr>
        <w:spacing w:before="160" w:after="80"/>
        <w:pBdr>
          <w:bottom w:val="single" w:sz="6" w:space="1" w:color="D6DEE6"/>
        </w:pBdr>
      </w:pPr>
      <w:r>
        <w:rPr>
          <w:b/>
          <w:color w:val="071A2E"/>
          <w:sz w:val="28"/>
        </w:rPr>
        <w:t>11. Reconciliation Control Confirmation</w:t>
      </w:r>
    </w:p>
    <w:tbl>
      <w:tblPr>
        <w:tblW w:type="auto" w:w="0"/>
        <w:jc w:val="center"/>
        <w:tblLook w:firstColumn="1" w:firstRow="1" w:lastColumn="0" w:lastRow="0" w:noHBand="0" w:noVBand="1" w:val="04A0"/>
      </w:tblPr>
      <w:tblGrid>
        <w:gridCol w:w="3869"/>
        <w:gridCol w:w="3869"/>
        <w:gridCol w:w="3869"/>
        <w:gridCol w:w="3869"/>
      </w:tblGrid>
      <w:tr>
        <w:trPr>
          <w:tblHeader w:val="true"/>
        </w:trPr>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Control checkpoint</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Yes / No / N/A</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Reviewer comments</w:t>
            </w:r>
          </w:p>
        </w:tc>
        <w:tc>
          <w:tcPr>
            <w:tcW w:type="dxa" w:w="38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Evidence reference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required internal records were extracted from approved source modules.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Broker, custodian and bank source files were complete for the reporting period.</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Reconciliation tolerances were applied consistently.</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material differences were investigated and assigned to an owner.</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NAV-impacting differences were resolved or escalated before client reporting.</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All adjustments were processed through the relevant source module, not edited directly in this report.</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r>
        <w:trPr>
          <w:cantSplit/>
        </w:trPr>
        <w:tc>
          <w:tcPr>
            <w:tcW w:type="dxa" w:w="38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rPr>
              <w:t>The maker and checker are different authorised users.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Per approved investment operations policy and valuation records.</w:t>
            </w:r>
          </w:p>
        </w:tc>
        <w:tc>
          <w:tcPr>
            <w:tcW w:type="dxa" w:w="3869"/>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r>
    </w:tbl>
    <w:p>
      <w:r>
        <w:br w:type="page"/>
      </w:r>
    </w:p>
    <w:p>
      <w:pPr>
        <w:spacing w:before="160" w:after="80"/>
        <w:pBdr>
          <w:bottom w:val="single" w:sz="6" w:space="1" w:color="D6DEE6"/>
        </w:pBdr>
      </w:pPr>
      <w:r>
        <w:rPr>
          <w:b/>
          <w:color w:val="071A2E"/>
          <w:sz w:val="28"/>
        </w:rPr>
        <w:t>12. Supporting Documents Register</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Document reference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Document type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Source / provider</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Period covered</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Received date</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Linked exception IDs</w:t>
            </w:r>
          </w:p>
        </w:tc>
        <w:tc>
          <w:tcPr>
            <w:tcW w:type="dxa" w:w="2211"/>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3"/>
              </w:rPr>
              <w:t>Stored in Arcus</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r>
      <w:tr>
        <w:trPr>
          <w:cantSplit/>
        </w:trPr>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cmrfh6wda008uktfqh9cvxubs</w:t>
            </w:r>
          </w:p>
        </w:tc>
        <w:tc>
          <w:tcPr>
            <w:tcW w:type="dxa" w:w="2211"/>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r>
      <w:tr>
        <w:trPr>
          <w:cantSplit/>
        </w:trPr>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2026-07-10</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cmrfh6wda008uktfqh9cvxubs</w:t>
            </w:r>
          </w:p>
        </w:tc>
        <w:tc>
          <w:tcPr>
            <w:tcW w:type="dxa" w:w="2211"/>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3"/>
                <w:highlight w:val="yellow"/>
              </w:rPr>
              <w:t xml:space="preserve">No</w:t>
            </w:r>
          </w:p>
        </w:tc>
      </w:tr>
    </w:tbl>
    <w:p>
      <w:r>
        <w:br w:type="page"/>
      </w:r>
    </w:p>
    <w:p>
      <w:pPr>
        <w:spacing w:before="160" w:after="80"/>
        <w:pBdr>
          <w:bottom w:val="single" w:sz="6" w:space="1" w:color="D6DEE6"/>
        </w:pBdr>
      </w:pPr>
      <w:r>
        <w:rPr>
          <w:b/>
          <w:color w:val="071A2E"/>
          <w:sz w:val="28"/>
        </w:rPr>
        <w:t>13. Management Commentary</w:t>
      </w:r>
    </w:p>
    <w:tbl>
      <w:tblPr>
        <w:tblW w:type="auto" w:w="0"/>
        <w:jc w:val="center"/>
        <w:tblLook w:firstColumn="1" w:firstRow="1" w:lastColumn="0" w:lastRow="0" w:noHBand="0" w:noVBand="1" w:val="04A0"/>
      </w:tblPr>
      <w:tblGrid>
        <w:gridCol w:w="15478"/>
      </w:tblGrid>
      <w:tr>
        <w:tc>
          <w:tcPr>
            <w:tcW w:type="dxa" w:w="15478"/>
            <w:shd w:fill="D9EAF7"/>
            <w:tcBorders>
              <w:top w:sz="10" w:val="single" w:color="8FB9DD"/>
              <w:left w:sz="10" w:val="single" w:color="8FB9DD"/>
              <w:bottom w:sz="10" w:val="single" w:color="8FB9DD"/>
              <w:right w:sz="10" w:val="single" w:color="8FB9DD"/>
            </w:tcBorders>
            <w:tcMar>
              <w:top w:w="120" w:type="dxa"/>
              <w:start w:w="140" w:type="dxa"/>
              <w:bottom w:w="120" w:type="dxa"/>
              <w:end w:w="140" w:type="dxa"/>
            </w:tcMar>
          </w:tcPr>
          <w:p>
            <w:pPr>
              <w:spacing w:after="0" w:line="240" w:lineRule="auto"/>
            </w:pPr>
            <w:r>
              <w:rPr>
                <w:b/>
                <w:i w:val="0"/>
                <w:color w:val="071A2E"/>
                <w:sz w:val="17"/>
              </w:rPr>
              <w:t>INSTRUCTION - COMMENTARY</w:t>
            </w:r>
          </w:p>
          <w:p>
            <w:pPr>
              <w:spacing w:after="0" w:line="240" w:lineRule="auto"/>
            </w:pPr>
            <w:r>
              <w:rPr>
                <w:b w:val="0"/>
                <w:i w:val="0"/>
                <w:color w:val="071A2E"/>
                <w:sz w:val="16"/>
              </w:rPr>
              <w:t>Provide concise management commentary. Avoid vague statements. Explain the cause, status and risk of unresolved material exceptions and whether any client or regulatory reporting should be delayed.</w:t>
            </w:r>
          </w:p>
        </w:tc>
      </w:tr>
    </w:tbl>
    <w:p>
      <w:pPr>
        <w:spacing w:after="0"/>
      </w:pPr>
    </w:p>
    <w:tbl>
      <w:tblPr>
        <w:tblW w:type="auto" w:w="0"/>
        <w:tblLook w:firstColumn="1" w:firstRow="1" w:lastColumn="0" w:lastRow="0" w:noHBand="0" w:noVBand="1" w:val="04A0"/>
      </w:tblPr>
      <w:tblGrid>
        <w:gridCol w:w="15478"/>
      </w:tblGrid>
      <w:tr>
        <w:tc>
          <w:tcPr>
            <w:tcW w:type="dxa" w:w="15478"/>
            <w:shd w:fill="FFF2CC"/>
            <w:tcBorders>
              <w:top w:sz="8" w:val="single" w:color="D6B656"/>
              <w:left w:sz="8" w:val="single" w:color="D6B656"/>
              <w:bottom w:sz="8" w:val="single" w:color="D6B656"/>
              <w:right w:sz="8" w:val="single" w:color="D6B656"/>
            </w:tcBorders>
          </w:tcPr>
          <w:p>
            <w:pPr>
              <w:spacing w:after="0" w:line="240" w:lineRule="auto"/>
            </w:pPr>
            <w:r>
              <w:rPr>
                <w:b/>
                <w:i w:val="0"/>
                <w:color w:val="000000"/>
                <w:sz w:val="16"/>
              </w:rPr>
              <w:t xml:space="preserve">Management commentary: </w:t>
            </w:r>
            <w:r>
              <w:rPr>
                <w:b w:val="0"/>
                <w:i w:val="0"/>
                <w:color w:val="000000"/>
                <w:sz w:val="16"/>
                <w:highlight w:val="yellow"/>
              </w:rPr>
              <w:t xml:space="preserve">Per approved investment operations policy and valuation records. Per approved investment operations policy and valuation records. </w:t>
            </w:r>
          </w:p>
        </w:tc>
      </w:tr>
    </w:tbl>
    <w:p>
      <w:pPr>
        <w:spacing w:after="0"/>
      </w:pPr>
    </w:p>
    <w:p>
      <w:pPr>
        <w:spacing w:before="160" w:after="80"/>
        <w:pBdr>
          <w:bottom w:val="single" w:sz="6" w:space="1" w:color="D6DEE6"/>
        </w:pBdr>
      </w:pPr>
      <w:r>
        <w:rPr>
          <w:b/>
          <w:color w:val="071A2E"/>
          <w:sz w:val="28"/>
        </w:rPr>
        <w:t>14. Preparation, Review and Approval</w:t>
      </w:r>
    </w:p>
    <w:p>
      <w:pPr>
        <w:spacing w:after="80" w:line="252" w:lineRule="auto"/>
      </w:pPr>
      <w:r>
        <w:rPr>
          <w:b w:val="0"/>
          <w:i w:val="0"/>
          <w:color w:val="000000"/>
          <w:sz w:val="17"/>
        </w:rPr>
        <w:t>The maker confirms that this report was prepared from approved reconciliation data and that exceptions have not been amended directly in the report outside the controlled source records. The checker confirms that the report has been reviewed, that material unresolved exceptions have been identified, and that any required escalation has been recorded.</w:t>
      </w:r>
    </w:p>
    <w:tbl>
      <w:tblPr>
        <w:tblW w:type="auto" w:w="0"/>
        <w:jc w:val="center"/>
        <w:tblLook w:firstColumn="1" w:firstRow="1" w:lastColumn="0" w:lastRow="0" w:noHBand="0" w:noVBand="1" w:val="04A0"/>
      </w:tblPr>
      <w:tblGrid>
        <w:gridCol w:w="3096"/>
        <w:gridCol w:w="3096"/>
        <w:gridCol w:w="3096"/>
        <w:gridCol w:w="3096"/>
        <w:gridCol w:w="3096"/>
      </w:tblGrid>
      <w:tr>
        <w:trPr>
          <w:tblHeader w:val="true"/>
        </w:trPr>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Role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Name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Designation</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Date</w:t>
            </w:r>
          </w:p>
        </w:tc>
        <w:tc>
          <w:tcPr>
            <w:tcW w:type="dxa" w:w="3096"/>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color w:val="FFFFFF"/>
                <w:sz w:val="14"/>
              </w:rPr>
              <w:t>Signature / digital approval</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Prepared by - Maker</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Investment Operations</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2026-07-10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Digitally prepared — Admin User</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Reviewed by - Operations Checker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2026-07-10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Checked — Admin User</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Reviewed by - Compliance, if applicable</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2026-07-10</w:t>
            </w:r>
          </w:p>
        </w:tc>
        <w:tc>
          <w:tcPr>
            <w:tcW w:type="dxa" w:w="3096"/>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r>
      <w:tr>
        <w:trPr>
          <w:cantSplit/>
        </w:trPr>
        <w:tc>
          <w:tcPr>
            <w:tcW w:type="dxa" w:w="3096"/>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rPr>
              <w:t>Approved by - Authorised Officer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2026-07-10</w:t>
            </w:r>
          </w:p>
        </w:tc>
        <w:tc>
          <w:tcPr>
            <w:tcW w:type="dxa" w:w="3096"/>
            <w:shd w:fill="F8FBF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jc w:val="center"/>
            </w:pPr>
            <w:r/>
            <w:r>
              <w:rPr>
                <w:b w:val="0"/>
                <w:color w:val="000000"/>
                <w:sz w:val="14"/>
                <w:highlight w:val="yellow"/>
              </w:rPr>
              <w:t xml:space="preserve">Admin User</w:t>
            </w:r>
          </w:p>
        </w:tc>
      </w:tr>
    </w:tbl>
    <w:p>
      <w:pPr>
        <w:spacing w:before="160" w:after="80"/>
        <w:pBdr>
          <w:bottom w:val="single" w:sz="6" w:space="1" w:color="D6DEE6"/>
        </w:pBdr>
      </w:pPr>
      <w:r>
        <w:rPr>
          <w:b/>
          <w:color w:val="071A2E"/>
          <w:sz w:val="28"/>
        </w:rPr>
        <w:t>15. Arcus Audit and Version Control</w:t>
      </w:r>
    </w:p>
    <w:tbl>
      <w:tblPr>
        <w:tblW w:type="auto" w:w="0"/>
        <w:jc w:val="center"/>
        <w:tblLook w:firstColumn="1" w:firstRow="1" w:lastColumn="0" w:lastRow="0" w:noHBand="0" w:noVBand="1" w:val="04A0"/>
      </w:tblPr>
      <w:tblGrid>
        <w:gridCol w:w="7739"/>
        <w:gridCol w:w="7739"/>
      </w:tblGrid>
      <w:tr>
        <w:trPr>
          <w:tblHeader w:val="true"/>
        </w:trPr>
        <w:tc>
          <w:tcPr>
            <w:tcW w:type="dxa" w:w="3969"/>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4"/>
              </w:rPr>
              <w:t>Field</w:t>
            </w:r>
          </w:p>
        </w:tc>
        <w:tc>
          <w:tcPr>
            <w:tcW w:type="dxa" w:w="10205"/>
            <w:shd w:fill="071A2E"/>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FFFFFF"/>
                <w:sz w:val="14"/>
              </w:rPr>
              <w:t>Detail</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Reporting run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cmrfh6wda008uktfqh9cvxubs</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Generated report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cmrfh6wda008uktfqh9cvxubs</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Source data snapshot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cmrfh5qik005yktfqpl41uqv7</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Internal reconciliation extract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cmrfh6wda008uktfqh9cvxubs</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External evidence bundle ID</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cmrfh6wda008uktfqh9cvxubs</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Generated by</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Admin User</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Generated date and time</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2026-07-10T21:56:41.189Z</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Approved by</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Approval date and time</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2026-07-10T21:56:41.189Z</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Document version</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1.0</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Reissue reference, if any</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cmrfh6wda008uktfqh9cvxubs</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Document hash / checksum</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w:t>
            </w:r>
          </w:p>
        </w:tc>
      </w:tr>
      <w:tr>
        <w:tc>
          <w:tcPr>
            <w:tcW w:type="dxa" w:w="3969"/>
            <w:shd w:fill="F3F9FF"/>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color w:val="000000"/>
                <w:sz w:val="14"/>
              </w:rPr>
              <w:t>Archive status</w:t>
            </w:r>
          </w:p>
        </w:tc>
        <w:tc>
          <w:tcPr>
            <w:tcW w:type="dxa" w:w="10205"/>
            <w:vAlign w:val="center"/>
            <w:tcMar>
              <w:top w:w="80" w:type="dxa"/>
              <w:start w:w="80" w:type="dxa"/>
              <w:bottom w:w="80" w:type="dxa"/>
              <w:end w:w="80" w:type="dxa"/>
            </w:tcMar>
            <w:tcBorders>
              <w:top w:sz="8" w:val="single" w:color="B7C9D9"/>
              <w:left w:sz="8" w:val="single" w:color="B7C9D9"/>
              <w:bottom w:sz="8" w:val="single" w:color="B7C9D9"/>
              <w:right w:sz="8" w:val="single" w:color="B7C9D9"/>
            </w:tcBorders>
          </w:tcPr>
          <w:p>
            <w:pPr>
              <w:spacing w:after="0" w:line="240" w:lineRule="auto"/>
            </w:pPr>
            <w:r/>
            <w:r>
              <w:rPr>
                <w:b w:val="0"/>
                <w:color w:val="000000"/>
                <w:sz w:val="14"/>
                <w:highlight w:val="yellow"/>
              </w:rPr>
              <w:t xml:space="preserve">—</w:t>
            </w:r>
          </w:p>
        </w:tc>
      </w:tr>
    </w:tbl>
    <w:p>
      <w:pPr>
        <w:spacing w:before="100" w:after="80"/>
      </w:pPr>
      <w:r>
        <w:rPr>
          <w:b/>
          <w:color w:val="168AE8"/>
          <w:sz w:val="21"/>
        </w:rPr>
        <w:t>Footer Wording</w:t>
      </w:r>
    </w:p>
    <w:p>
      <w:pPr>
        <w:spacing w:after="80" w:line="252" w:lineRule="auto"/>
      </w:pPr>
      <w:r>
        <w:rPr>
          <w:b w:val="0"/>
          <w:i w:val="0"/>
          <w:color w:val="000000"/>
          <w:sz w:val="15"/>
        </w:rPr>
        <w:t xml:space="preserve">Confidential Reconciliation Exception Report | Arcus Asset Management | — | — | Page — of —</w:t>
      </w:r>
    </w:p>
    <w:sectPr w:rsidR="00FC693F" w:rsidRPr="0006063C" w:rsidSect="00034616">
      <w:headerReference w:type="default" r:id="rId9"/>
      <w:footerReference w:type="default" r:id="rId10"/>
      <w:pgSz w:w="16838" w:h="11906" w:orient="landscape"/>
      <w:pgMar w:top="709"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B6773"/>
        <w:sz w:val="14"/>
      </w:rPr>
      <w:t xml:space="preserve">Confidential | Reconciliation Exception Report | Generated from Arcus approved source data | Page </w:t>
    </w:r>
    <w:r>
      <w:fldChar w:fldCharType="begin"/>
      <w:instrText xml:space="preserve">PAGE</w:instrText>
      <w:fldChar w:fldCharType="end"/>
    </w:r>
    <w:r>
      <w:rPr>
        <w:b w:val="0"/>
        <w:i w:val="0"/>
        <w:color w:val="5B6773"/>
        <w:sz w:val="14"/>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59"/>
      <w:gridCol w:w="5159"/>
      <w:gridCol w:w="5159"/>
    </w:tblGrid>
    <w:tr>
      <w:tc>
        <w:tcPr>
          <w:tcW w:type="dxa" w:w="3402"/>
          <w:shd w:fill="071A2E"/>
          <w:tcBorders>
            <w:top w:val="nil"/>
            <w:left w:val="nil"/>
            <w:bottom w:val="nil"/>
            <w:right w:val="nil"/>
          </w:tcBorders>
          <w:tcMar>
            <w:top w:w="80" w:type="dxa"/>
            <w:start w:w="80" w:type="dxa"/>
            <w:bottom w:w="80" w:type="dxa"/>
            <w:end w:w="80" w:type="dxa"/>
          </w:tcMar>
          <w:vAlign w:val="center"/>
        </w:tcPr>
        <w:p>
          <w:r/>
          <w:r>
            <w:rPr>
              <w:b/>
              <w:color w:val="FFFFFF"/>
              <w:sz w:val="16"/>
            </w:rPr>
            <w:t>■  ARCUS REPORTING</w:t>
          </w:r>
        </w:p>
      </w:tc>
      <w:tc>
        <w:tcPr>
          <w:tcW w:type="dxa" w:w="6236"/>
          <w:shd w:fill="071A2E"/>
          <w:tcBorders>
            <w:top w:val="nil"/>
            <w:left w:val="nil"/>
            <w:bottom w:val="nil"/>
            <w:right w:val="nil"/>
          </w:tcBorders>
          <w:tcMar>
            <w:top w:w="80" w:type="dxa"/>
            <w:start w:w="80" w:type="dxa"/>
            <w:bottom w:w="80" w:type="dxa"/>
            <w:end w:w="80" w:type="dxa"/>
          </w:tcMar>
          <w:vAlign w:val="center"/>
        </w:tcPr>
        <w:p>
          <w:pPr>
            <w:jc w:val="center"/>
          </w:pPr>
          <w:r/>
          <w:r>
            <w:rPr>
              <w:b w:val="0"/>
              <w:color w:val="D9EAF7"/>
              <w:sz w:val="15"/>
            </w:rPr>
            <w:t>Quarterly Reporting | Investor Statements | Regulatory Packs</w:t>
          </w:r>
        </w:p>
      </w:tc>
      <w:tc>
        <w:tcPr>
          <w:tcW w:type="dxa" w:w="3402"/>
          <w:shd w:fill="071A2E"/>
          <w:tcBorders>
            <w:top w:val="nil"/>
            <w:left w:val="nil"/>
            <w:bottom w:val="nil"/>
            <w:right w:val="nil"/>
          </w:tcBorders>
          <w:tcMar>
            <w:top w:w="80" w:type="dxa"/>
            <w:start w:w="80" w:type="dxa"/>
            <w:bottom w:w="80" w:type="dxa"/>
            <w:end w:w="80" w:type="dxa"/>
          </w:tcMar>
          <w:vAlign w:val="center"/>
        </w:tcPr>
        <w:p>
          <w:pPr>
            <w:jc w:val="right"/>
          </w:pPr>
          <w:r/>
          <w:r>
            <w:rPr>
              <w:b/>
              <w:color w:val="FFFFFF"/>
              <w:sz w:val="14"/>
            </w:rPr>
            <w:t>RECONCILIATION EXCEPTION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Reconciliation Exception Report Template</dc:title>
  <dc:subject>Quarterly Reporting, Investor Statements and Regulatory Pack Module</dc:subject>
  <dc:creator>OpenAI</dc:creator>
  <cp:keywords>Arcus, reconciliation, exception report, asset manager, template</cp:keywords>
  <dc:description>generated by python-docx</dc:description>
  <cp:lastModifiedBy/>
  <cp:revision>1</cp:revision>
  <dcterms:created xsi:type="dcterms:W3CDTF">2013-12-23T23:15:00Z</dcterms:created>
  <dcterms:modified xsi:type="dcterms:W3CDTF">2013-12-23T23:15:00Z</dcterms:modified>
  <cp:category/>
</cp:coreProperties>
</file>