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b/>
          <w:color w:val="FFFFFF"/>
          <w:sz w:val="36"/>
        </w:rPr>
        <w:t>AR</w:t>
      </w:r>
    </w:p>
    <w:p>
      <w:pPr>
        <w:spacing w:line="240" w:lineRule="auto"/>
        <w:jc w:val="right"/>
      </w:pPr>
      <w:r>
        <w:rPr>
          <w:b/>
          <w:i w:val="0"/>
          <w:color w:val="000000"/>
          <w:sz w:val="20"/>
          <w:highlight w:val="yellow"/>
        </w:rPr>
        <w:t xml:space="preserve">Admin User</w:t>
      </w:r>
    </w:p>
    <w:p>
      <w:pPr>
        <w:spacing w:after="120" w:line="240" w:lineRule="auto"/>
        <w:jc w:val="right"/>
      </w:pPr>
      <w:r>
        <w:rPr>
          <w:b/>
          <w:i w:val="0"/>
          <w:color w:val="000000"/>
          <w:sz w:val="15"/>
          <w:highlight w:val="yellow"/>
        </w:rPr>
        <w:t xml:space="preserve">Harare, Zimbabwe</w:t>
      </w:r>
      <w:r>
        <w:rPr>
          <w:b w:val="0"/>
          <w:i w:val="0"/>
          <w:color w:val="4B5563"/>
          <w:sz w:val="15"/>
        </w:rPr>
        <w:t xml:space="preserve"> | </w:t>
      </w:r>
      <w:r>
        <w:rPr>
          <w:b/>
          <w:i w:val="0"/>
          <w:color w:val="000000"/>
          <w:sz w:val="15"/>
          <w:highlight w:val="yellow"/>
        </w:rPr>
        <w:t xml:space="preserve">+263</w:t>
      </w:r>
      <w:r>
        <w:rPr>
          <w:b w:val="0"/>
          <w:i w:val="0"/>
          <w:color w:val="4B5563"/>
          <w:sz w:val="15"/>
        </w:rPr>
        <w:t xml:space="preserve"> | </w:t>
      </w:r>
      <w:r>
        <w:rPr>
          <w:b/>
          <w:i w:val="0"/>
          <w:color w:val="000000"/>
          <w:sz w:val="15"/>
          <w:highlight w:val="yellow"/>
        </w:rPr>
        <w:t xml:space="preserve">operations@arcus.co.zw</w:t>
      </w:r>
      <w:r>
        <w:rPr>
          <w:b w:val="0"/>
          <w:i w:val="0"/>
          <w:color w:val="4B5563"/>
          <w:sz w:val="15"/>
        </w:rPr>
        <w:t xml:space="preserve"> | </w:t>
      </w:r>
      <w:r>
        <w:rPr>
          <w:b/>
          <w:i w:val="0"/>
          <w:color w:val="000000"/>
          <w:sz w:val="15"/>
          <w:highlight w:val="yellow"/>
        </w:rPr>
        <w:t xml:space="preserve">https://arcus.co.zw</w:t>
      </w:r>
    </w:p>
    <w:p>
      <w:pPr>
        <w:spacing w:after="120" w:line="240" w:lineRule="auto"/>
        <w:jc w:val="right"/>
      </w:pPr>
      <w:r>
        <w:rPr>
          <w:b w:val="0"/>
          <w:i w:val="0"/>
          <w:color w:val="4B5563"/>
          <w:sz w:val="15"/>
        </w:rPr>
        <w:t xml:space="preserve">SECZIM Licence No.: </w:t>
      </w:r>
      <w:r>
        <w:rPr>
          <w:b/>
          <w:i w:val="0"/>
          <w:color w:val="000000"/>
          <w:sz w:val="15"/>
          <w:highlight w:val="yellow"/>
        </w:rPr>
        <w:t xml:space="preserve">—</w:t>
      </w:r>
      <w:r>
        <w:rPr>
          <w:b w:val="0"/>
          <w:i w:val="0"/>
          <w:color w:val="4B5563"/>
          <w:sz w:val="15"/>
        </w:rPr>
        <w:t xml:space="preserve"> | Company Reg. No.: </w:t>
      </w:r>
      <w:r>
        <w:rPr>
          <w:b/>
          <w:i w:val="0"/>
          <w:color w:val="000000"/>
          <w:sz w:val="15"/>
          <w:highlight w:val="yellow"/>
        </w:rPr>
        <w:t xml:space="preserve">Arcus AM (Pvt) Ltd</w:t>
      </w:r>
    </w:p>
    <w:tbl>
      <w:tblPr>
        <w:tblW w:type="auto" w:w="0"/>
        <w:jc w:val="center"/>
        <w:tblLook w:firstColumn="1" w:firstRow="1" w:lastColumn="0" w:lastRow="0" w:noHBand="0" w:noVBand="1" w:val="04A0"/>
      </w:tblPr>
      <w:tblGrid>
        <w:gridCol w:w="10656"/>
      </w:tblGrid>
      <w:tr>
        <w:tc>
          <w:tcPr>
            <w:tcW w:type="dxa" w:w="10656"/>
            <w:tcBorders>
              <w:top w:sz="4" w:val="single" w:color="1E88E5"/>
              <w:left w:sz="4" w:val="single" w:color="1E88E5"/>
              <w:bottom w:sz="4" w:val="single" w:color="1E88E5"/>
              <w:right w:sz="4" w:val="single" w:color="1E88E5"/>
            </w:tcBorders>
            <w:shd w:fill="071827"/>
          </w:tcPr>
          <w:p>
            <w:pPr>
              <w:jc w:val="center"/>
            </w:pPr>
            <w:r/>
            <w:r>
              <w:rPr>
                <w:b/>
                <w:color w:val="FFFFFF"/>
                <w:sz w:val="44"/>
              </w:rPr>
              <w:t>SECZIM CAPITAL ADEQUACY PACK</w:t>
            </w:r>
          </w:p>
          <w:p>
            <w:pPr>
              <w:jc w:val="center"/>
            </w:pPr>
            <w:r>
              <w:rPr>
                <w:color w:val="CFE8FF"/>
                <w:sz w:val="18"/>
              </w:rPr>
              <w:t>Regulatory Support Schedule for Licensed Securities Investment / Asset-Fund Management Firm</w:t>
            </w:r>
          </w:p>
        </w:tc>
      </w:tr>
    </w:tbl>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Yellow highlighted text shows editable placeholders. Replace all placeholders before issue. Blue boxes are preparation instructions and should be removed from the final client/regulatory issue version unless retained for internal working papers.</w:t>
            </w:r>
          </w:p>
        </w:tc>
      </w:tr>
    </w:tbl>
    <w:p>
      <w:pPr>
        <w:spacing w:after="40" w:line="240" w:lineRule="auto"/>
      </w:pPr>
    </w:p>
    <w:tbl>
      <w:tblPr>
        <w:tblW w:type="auto" w:w="0"/>
        <w:jc w:val="center"/>
        <w:tblLayout w:type="autofit"/>
        <w:tblLook w:firstColumn="1" w:firstRow="1" w:lastColumn="0" w:lastRow="0" w:noHBand="0" w:noVBand="1" w:val="04A0"/>
      </w:tblPr>
      <w:tblGrid>
        <w:gridCol w:w="5328"/>
        <w:gridCol w:w="5328"/>
      </w:tblGrid>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Licensed Entity</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Admin User</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Regulatory Category</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SECZIM Licence Number</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Reporting Period</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Quarter End Date</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2026-03-31</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Base Currency</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USD</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Presentation Currency</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Prepared For</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Prepared By</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Admin User</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Document Status</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Version</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1.0</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Report Run ID</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cmrfh75ti009fktfqnqp8c3at</w:t>
            </w:r>
          </w:p>
        </w:tc>
      </w:tr>
    </w:tbl>
    <w:p>
      <w:pPr>
        <w:spacing w:after="40" w:line="240" w:lineRule="auto"/>
      </w:pPr>
    </w:p>
    <w:p>
      <w:pPr>
        <w:spacing w:after="120" w:line="240" w:lineRule="auto"/>
      </w:pPr>
      <w:r>
        <w:rPr>
          <w:b w:val="0"/>
          <w:i w:val="0"/>
          <w:sz w:val="17"/>
        </w:rPr>
        <w:t>Document classification: Confidential regulatory support pack. This document is intended to support internal review, compliance approval and SECZIM-facing return preparation. It is not a substitute for the official regulatory form or portal submission requirements where prescribed by the regulator.</w:t>
      </w:r>
    </w:p>
    <w:p>
      <w:pPr>
        <w:spacing w:line="240" w:lineRule="auto"/>
      </w:pPr>
      <w:r>
        <w:br w:type="page"/>
      </w:r>
    </w:p>
    <w:p>
      <w:pPr>
        <w:spacing w:before="200" w:after="120" w:line="240" w:lineRule="auto"/>
        <w:pBdr>
          <w:bottom w:val="single" w:sz="8" w:space="4" w:color="1E88E5"/>
        </w:pBdr>
      </w:pPr>
      <w:r>
        <w:rPr>
          <w:b/>
          <w:color w:val="071827"/>
          <w:sz w:val="28"/>
        </w:rPr>
        <w:t>1. Executive Summary</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Insert a concise compliance conclusion. State whether the entity is compliant, borderline or in breach, and identify the capital buffer or shortfall. Avoid unsupported commentary.</w:t>
            </w:r>
          </w:p>
        </w:tc>
      </w:tr>
    </w:tbl>
    <w:p>
      <w:pPr>
        <w:spacing w:after="40" w:line="240" w:lineRule="auto"/>
      </w:pPr>
    </w:p>
    <w:p>
      <w:pPr>
        <w:spacing w:after="120" w:line="240" w:lineRule="auto"/>
      </w:pPr>
      <w:r>
        <w:rPr>
          <w:b w:val="0"/>
          <w:i w:val="0"/>
          <w:sz w:val="17"/>
        </w:rPr>
        <w:t xml:space="preserve">For the period ended </w:t>
      </w:r>
      <w:r>
        <w:rPr>
          <w:b/>
          <w:i w:val="0"/>
          <w:color w:val="000000"/>
          <w:sz w:val="17"/>
          <w:highlight w:val="yellow"/>
        </w:rPr>
        <w:t xml:space="preserve">2026-03-31</w:t>
      </w:r>
      <w:r>
        <w:rPr>
          <w:b w:val="0"/>
          <w:i w:val="0"/>
          <w:sz w:val="17"/>
        </w:rPr>
        <w:t xml:space="preserve">, </w:t>
      </w:r>
      <w:r>
        <w:rPr>
          <w:b/>
          <w:i w:val="0"/>
          <w:color w:val="000000"/>
          <w:sz w:val="17"/>
          <w:highlight w:val="yellow"/>
        </w:rPr>
        <w:t xml:space="preserve">Admin User</w:t>
      </w:r>
      <w:r>
        <w:rPr>
          <w:b w:val="0"/>
          <w:i w:val="0"/>
          <w:sz w:val="17"/>
        </w:rPr>
        <w:t xml:space="preserve"> has prepared this Capital Adequacy Pack to evidence the calculation of Adjusted Liquid Capital, Total Capital Requirement and the Capital Adequacy Ratio for internal governance and regulatory support purposes.</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Indicator</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Current Period</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Prior Period</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Status / Comment</w:t>
            </w:r>
          </w:p>
        </w:tc>
      </w:tr>
      <w:tr>
        <w:tc>
          <w:tcPr>
            <w:tcW w:type="dxa" w:w="2664"/>
            <w:shd w:fill="F8FBFE"/>
            <w:vAlign w:val="center"/>
          </w:tcPr>
          <w:p>
            <w:pPr>
              <w:spacing w:after="0"/>
            </w:pPr>
            <w:r/>
            <w:r>
              <w:rPr>
                <w:b w:val="0"/>
                <w:i w:val="0"/>
                <w:sz w:val="15"/>
              </w:rPr>
              <w:t>Adjusted Liquid Capital</w:t>
            </w:r>
          </w:p>
        </w:tc>
        <w:tc>
          <w:tcPr>
            <w:tcW w:type="dxa" w:w="2664"/>
            <w:shd w:fill="F8FBFE"/>
            <w:vAlign w:val="center"/>
          </w:tcPr>
          <w:p>
            <w:pPr>
              <w:spacing w:after="0"/>
            </w:pPr>
            <w:r/>
            <w:r>
              <w:rPr>
                <w:b/>
                <w:i w:val="0"/>
                <w:color w:val="000000"/>
                <w:sz w:val="15"/>
                <w:highlight w:val="yellow"/>
              </w:rPr>
              <w:t xml:space="preserve">—</w:t>
            </w:r>
          </w:p>
        </w:tc>
        <w:tc>
          <w:tcPr>
            <w:tcW w:type="dxa" w:w="2664"/>
            <w:shd w:fill="F8FBFE"/>
            <w:vAlign w:val="center"/>
          </w:tcPr>
          <w:p>
            <w:pPr>
              <w:spacing w:after="0"/>
            </w:pPr>
            <w:r/>
            <w:r>
              <w:rPr>
                <w:b/>
                <w:i w:val="0"/>
                <w:color w:val="000000"/>
                <w:sz w:val="15"/>
                <w:highlight w:val="yellow"/>
              </w:rPr>
              <w:t xml:space="preserve">—</w:t>
            </w:r>
          </w:p>
        </w:tc>
        <w:tc>
          <w:tcPr>
            <w:tcW w:type="dxa" w:w="2664"/>
            <w:shd w:fill="F8FBFE"/>
            <w:vAlign w:val="center"/>
          </w:tcPr>
          <w:p>
            <w:pPr>
              <w:spacing w:after="0"/>
            </w:pPr>
            <w:r/>
            <w:r>
              <w:rPr>
                <w:b/>
                <w:i w:val="0"/>
                <w:color w:val="000000"/>
                <w:sz w:val="15"/>
                <w:highlight w:val="yellow"/>
              </w:rPr>
              <w:t xml:space="preserve">Pass</w:t>
            </w:r>
          </w:p>
        </w:tc>
      </w:tr>
      <w:tr>
        <w:tc>
          <w:tcPr>
            <w:tcW w:type="dxa" w:w="2664"/>
            <w:vAlign w:val="center"/>
          </w:tcPr>
          <w:p>
            <w:pPr>
              <w:spacing w:after="0"/>
            </w:pPr>
            <w:r/>
            <w:r>
              <w:rPr>
                <w:b w:val="0"/>
                <w:i w:val="0"/>
                <w:sz w:val="15"/>
              </w:rPr>
              <w:t>Total Capital Requirement</w:t>
            </w:r>
          </w:p>
        </w:tc>
        <w:tc>
          <w:tcPr>
            <w:tcW w:type="dxa" w:w="2664"/>
            <w:vAlign w:val="center"/>
          </w:tcPr>
          <w:p>
            <w:pPr>
              <w:spacing w:after="0"/>
            </w:pPr>
            <w:r/>
            <w:r>
              <w:rPr>
                <w:b/>
                <w:i w:val="0"/>
                <w:color w:val="000000"/>
                <w:sz w:val="15"/>
                <w:highlight w:val="yellow"/>
              </w:rPr>
              <w:t xml:space="preserve">—</w:t>
            </w:r>
          </w:p>
        </w:tc>
        <w:tc>
          <w:tcPr>
            <w:tcW w:type="dxa" w:w="2664"/>
            <w:vAlign w:val="center"/>
          </w:tcPr>
          <w:p>
            <w:pPr>
              <w:spacing w:after="0"/>
            </w:pPr>
            <w:r/>
            <w:r>
              <w:rPr>
                <w:b/>
                <w:i w:val="0"/>
                <w:color w:val="000000"/>
                <w:sz w:val="15"/>
                <w:highlight w:val="yellow"/>
              </w:rPr>
              <w:t xml:space="preserve">—</w:t>
            </w:r>
          </w:p>
        </w:tc>
        <w:tc>
          <w:tcPr>
            <w:tcW w:type="dxa" w:w="2664"/>
            <w:vAlign w:val="center"/>
          </w:tcPr>
          <w:p>
            <w:pPr>
              <w:spacing w:after="0"/>
            </w:pPr>
            <w:r/>
            <w:r>
              <w:rPr>
                <w:b/>
                <w:i w:val="0"/>
                <w:color w:val="000000"/>
                <w:sz w:val="15"/>
                <w:highlight w:val="yellow"/>
              </w:rPr>
              <w:t xml:space="preserve">Pass</w:t>
            </w:r>
          </w:p>
        </w:tc>
      </w:tr>
      <w:tr>
        <w:tc>
          <w:tcPr>
            <w:tcW w:type="dxa" w:w="2664"/>
            <w:shd w:fill="F8FBFE"/>
            <w:vAlign w:val="center"/>
          </w:tcPr>
          <w:p>
            <w:pPr>
              <w:spacing w:after="0"/>
            </w:pPr>
            <w:r/>
            <w:r>
              <w:rPr>
                <w:b w:val="0"/>
                <w:i w:val="0"/>
                <w:sz w:val="15"/>
              </w:rPr>
              <w:t>Capital Adequacy Ratio</w:t>
            </w:r>
          </w:p>
        </w:tc>
        <w:tc>
          <w:tcPr>
            <w:tcW w:type="dxa" w:w="2664"/>
            <w:shd w:fill="F8FBFE"/>
            <w:vAlign w:val="center"/>
          </w:tcPr>
          <w:p>
            <w:pPr>
              <w:spacing w:after="0"/>
            </w:pPr>
            <w:r/>
            <w:r>
              <w:rPr>
                <w:b/>
                <w:i w:val="0"/>
                <w:color w:val="000000"/>
                <w:sz w:val="15"/>
                <w:highlight w:val="yellow"/>
              </w:rPr>
              <w:t xml:space="preserve">—</w:t>
            </w:r>
            <w:r>
              <w:rPr>
                <w:b w:val="0"/>
                <w:i w:val="0"/>
                <w:sz w:val="15"/>
              </w:rPr>
              <w:t>%</w:t>
            </w:r>
          </w:p>
        </w:tc>
        <w:tc>
          <w:tcPr>
            <w:tcW w:type="dxa" w:w="2664"/>
            <w:shd w:fill="F8FBFE"/>
            <w:vAlign w:val="center"/>
          </w:tcPr>
          <w:p>
            <w:pPr>
              <w:spacing w:after="0"/>
            </w:pPr>
            <w:r/>
            <w:r>
              <w:rPr>
                <w:b/>
                <w:i w:val="0"/>
                <w:color w:val="000000"/>
                <w:sz w:val="15"/>
                <w:highlight w:val="yellow"/>
              </w:rPr>
              <w:t xml:space="preserve">—</w:t>
            </w:r>
            <w:r>
              <w:rPr>
                <w:b w:val="0"/>
                <w:i w:val="0"/>
                <w:sz w:val="15"/>
              </w:rPr>
              <w:t>%</w:t>
            </w:r>
          </w:p>
        </w:tc>
        <w:tc>
          <w:tcPr>
            <w:tcW w:type="dxa" w:w="2664"/>
            <w:shd w:fill="F8FBFE"/>
            <w:vAlign w:val="center"/>
          </w:tcPr>
          <w:p>
            <w:pPr>
              <w:spacing w:after="0"/>
            </w:pPr>
            <w:r/>
            <w:r>
              <w:rPr>
                <w:b/>
                <w:i w:val="0"/>
                <w:color w:val="000000"/>
                <w:sz w:val="15"/>
                <w:highlight w:val="yellow"/>
              </w:rPr>
              <w:t xml:space="preserve">Pass</w:t>
            </w:r>
          </w:p>
        </w:tc>
      </w:tr>
      <w:tr>
        <w:tc>
          <w:tcPr>
            <w:tcW w:type="dxa" w:w="2664"/>
            <w:vAlign w:val="center"/>
          </w:tcPr>
          <w:p>
            <w:pPr>
              <w:spacing w:after="0"/>
            </w:pPr>
            <w:r/>
            <w:r>
              <w:rPr>
                <w:b w:val="0"/>
                <w:i w:val="0"/>
                <w:sz w:val="15"/>
              </w:rPr>
              <w:t>Minimum Required Ratio / Threshold</w:t>
            </w:r>
          </w:p>
        </w:tc>
        <w:tc>
          <w:tcPr>
            <w:tcW w:type="dxa" w:w="2664"/>
            <w:vAlign w:val="center"/>
          </w:tcPr>
          <w:p>
            <w:pPr>
              <w:spacing w:after="0"/>
            </w:pPr>
            <w:r/>
            <w:r>
              <w:rPr>
                <w:b/>
                <w:i w:val="0"/>
                <w:color w:val="000000"/>
                <w:sz w:val="15"/>
                <w:highlight w:val="yellow"/>
              </w:rPr>
              <w:t xml:space="preserve">—</w:t>
            </w:r>
          </w:p>
        </w:tc>
        <w:tc>
          <w:tcPr>
            <w:tcW w:type="dxa" w:w="2664"/>
            <w:vAlign w:val="center"/>
          </w:tcPr>
          <w:p>
            <w:pPr>
              <w:spacing w:after="0"/>
            </w:pPr>
            <w:r/>
            <w:r>
              <w:rPr>
                <w:b/>
                <w:i w:val="0"/>
                <w:color w:val="000000"/>
                <w:sz w:val="15"/>
                <w:highlight w:val="yellow"/>
              </w:rPr>
              <w:t xml:space="preserve">—</w:t>
            </w:r>
          </w:p>
        </w:tc>
        <w:tc>
          <w:tcPr>
            <w:tcW w:type="dxa" w:w="2664"/>
            <w:vAlign w:val="center"/>
          </w:tcPr>
          <w:p>
            <w:pPr>
              <w:spacing w:after="0"/>
            </w:pPr>
            <w:r/>
            <w:r>
              <w:rPr>
                <w:b/>
                <w:i w:val="0"/>
                <w:color w:val="000000"/>
                <w:sz w:val="15"/>
                <w:highlight w:val="yellow"/>
              </w:rPr>
              <w:t xml:space="preserve">Per approved investment operations policy and valuation records.</w:t>
            </w:r>
          </w:p>
        </w:tc>
      </w:tr>
      <w:tr>
        <w:tc>
          <w:tcPr>
            <w:tcW w:type="dxa" w:w="2664"/>
            <w:shd w:fill="F8FBFE"/>
            <w:vAlign w:val="center"/>
          </w:tcPr>
          <w:p>
            <w:pPr>
              <w:spacing w:after="0"/>
            </w:pPr>
            <w:r/>
            <w:r>
              <w:rPr>
                <w:b w:val="0"/>
                <w:i w:val="0"/>
                <w:sz w:val="15"/>
              </w:rPr>
              <w:t>Surplus / (Shortfall)</w:t>
            </w:r>
          </w:p>
        </w:tc>
        <w:tc>
          <w:tcPr>
            <w:tcW w:type="dxa" w:w="2664"/>
            <w:shd w:fill="F8FBFE"/>
            <w:vAlign w:val="center"/>
          </w:tcPr>
          <w:p>
            <w:pPr>
              <w:spacing w:after="0"/>
            </w:pPr>
            <w:r/>
            <w:r>
              <w:rPr>
                <w:b/>
                <w:i w:val="0"/>
                <w:color w:val="000000"/>
                <w:sz w:val="15"/>
                <w:highlight w:val="yellow"/>
              </w:rPr>
              <w:t xml:space="preserve">—</w:t>
            </w:r>
          </w:p>
        </w:tc>
        <w:tc>
          <w:tcPr>
            <w:tcW w:type="dxa" w:w="2664"/>
            <w:shd w:fill="F8FBFE"/>
            <w:vAlign w:val="center"/>
          </w:tcPr>
          <w:p>
            <w:pPr>
              <w:spacing w:after="0"/>
            </w:pPr>
            <w:r/>
            <w:r>
              <w:rPr>
                <w:b/>
                <w:i w:val="0"/>
                <w:color w:val="000000"/>
                <w:sz w:val="15"/>
                <w:highlight w:val="yellow"/>
              </w:rPr>
              <w:t xml:space="preserve">—</w:t>
            </w:r>
          </w:p>
        </w:tc>
        <w:tc>
          <w:tcPr>
            <w:tcW w:type="dxa" w:w="2664"/>
            <w:shd w:fill="F8FBFE"/>
            <w:vAlign w:val="center"/>
          </w:tcPr>
          <w:p>
            <w:pPr>
              <w:spacing w:after="0"/>
            </w:pPr>
            <w:r/>
            <w:r>
              <w:rPr>
                <w:b/>
                <w:i w:val="0"/>
                <w:color w:val="000000"/>
                <w:sz w:val="15"/>
                <w:highlight w:val="yellow"/>
              </w:rPr>
              <w:t xml:space="preserve">Per approved investment operations policy and valuation records.</w:t>
            </w:r>
          </w:p>
        </w:tc>
      </w:tr>
      <w:tr>
        <w:tc>
          <w:tcPr>
            <w:tcW w:type="dxa" w:w="2664"/>
            <w:vAlign w:val="center"/>
          </w:tcPr>
          <w:p>
            <w:pPr>
              <w:spacing w:after="0"/>
            </w:pPr>
            <w:r/>
            <w:r>
              <w:rPr>
                <w:b w:val="0"/>
                <w:i w:val="0"/>
                <w:sz w:val="15"/>
              </w:rPr>
              <w:t>Management Conclusion</w:t>
            </w:r>
          </w:p>
        </w:tc>
        <w:tc>
          <w:tcPr>
            <w:tcW w:type="dxa" w:w="2664"/>
            <w:vAlign w:val="center"/>
          </w:tcPr>
          <w:p>
            <w:pPr>
              <w:spacing w:after="0"/>
            </w:pPr>
            <w:r/>
            <w:r>
              <w:rPr>
                <w:b/>
                <w:i w:val="0"/>
                <w:color w:val="000000"/>
                <w:sz w:val="15"/>
                <w:highlight w:val="yellow"/>
              </w:rPr>
              <w:t xml:space="preserve">—</w:t>
            </w:r>
          </w:p>
        </w:tc>
        <w:tc>
          <w:tcPr>
            <w:tcW w:type="dxa" w:w="2664"/>
            <w:vAlign w:val="center"/>
          </w:tcPr>
          <w:p>
            <w:pPr>
              <w:spacing w:after="0"/>
            </w:pPr>
            <w:r/>
            <w:r>
              <w:rPr>
                <w:b/>
                <w:i w:val="0"/>
                <w:color w:val="000000"/>
                <w:sz w:val="15"/>
                <w:highlight w:val="yellow"/>
              </w:rPr>
              <w:t xml:space="preserve">—</w:t>
            </w:r>
          </w:p>
        </w:tc>
        <w:tc>
          <w:tcPr>
            <w:tcW w:type="dxa" w:w="2664"/>
            <w:vAlign w:val="center"/>
          </w:tcPr>
          <w:p>
            <w:pPr>
              <w:spacing w:after="0"/>
            </w:pPr>
            <w:r/>
            <w:r>
              <w:rPr>
                <w:b/>
                <w:i w:val="0"/>
                <w:color w:val="000000"/>
                <w:sz w:val="15"/>
                <w:highlight w:val="yellow"/>
              </w:rPr>
              <w:t xml:space="preserve">Per approved investment operations policy and valuation records.</w:t>
            </w:r>
          </w:p>
        </w:tc>
      </w:tr>
    </w:tbl>
    <w:p>
      <w:pPr>
        <w:spacing w:after="80" w:line="240" w:lineRule="auto"/>
      </w:pPr>
    </w:p>
    <w:p>
      <w:pPr>
        <w:spacing w:before="200" w:after="120" w:line="240" w:lineRule="auto"/>
        <w:pBdr>
          <w:bottom w:val="single" w:sz="8" w:space="4" w:color="1E88E5"/>
        </w:pBdr>
      </w:pPr>
      <w:r>
        <w:rPr>
          <w:b/>
          <w:color w:val="071827"/>
          <w:sz w:val="28"/>
        </w:rPr>
        <w:t>2. Regulatory Basis and Applicability</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Confirm the applicable licence class, capital adequacy directive, reporting period, filing deadline and any regulator-specific computation basis before finalising. Where the official SECZIM template differs from this support pack, the official template must prevail.</w:t>
            </w:r>
          </w:p>
        </w:tc>
      </w:tr>
    </w:tbl>
    <w:p>
      <w:pPr>
        <w:spacing w:after="40" w:line="240" w:lineRule="auto"/>
      </w:pPr>
    </w:p>
    <w:tbl>
      <w:tblPr>
        <w:tblW w:type="auto" w:w="0"/>
        <w:jc w:val="center"/>
        <w:tblLayout w:type="autofit"/>
        <w:tblLook w:firstColumn="1" w:firstRow="1" w:lastColumn="0" w:lastRow="0" w:noHBand="0" w:noVBand="1" w:val="04A0"/>
      </w:tblPr>
      <w:tblGrid>
        <w:gridCol w:w="5328"/>
        <w:gridCol w:w="5328"/>
      </w:tblGrid>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Applicable Legal / Regulatory Framework</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Regulatory Return Supported</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0.00%</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Reporting Deadline</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Computation Date</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2026-07-10</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Accounting Records Cut-Off</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2026-07-10</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Portfolio Valuation Cut-Off</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2026-07-10</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FX Rate Approval Reference</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cmrfh75ti009fktfqnqp8c3at</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Responsible Compliance Officer</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 xml:space="preserve">Admin User</w:t>
            </w:r>
          </w:p>
        </w:tc>
      </w:tr>
    </w:tbl>
    <w:p>
      <w:pPr>
        <w:spacing w:after="40" w:line="240" w:lineRule="auto"/>
      </w:pPr>
    </w:p>
    <w:p>
      <w:pPr>
        <w:spacing w:after="120" w:line="240" w:lineRule="auto"/>
      </w:pPr>
      <w:r>
        <w:rPr>
          <w:b w:val="0"/>
          <w:i w:val="0"/>
          <w:sz w:val="17"/>
        </w:rPr>
        <w:t>This pack should be read together with the entity’s approved management accounts, trial balance, portfolio valuation reports, FUM/AUM movement report, receivables and payables schedules, liquidity schedule and supporting regulatory evidence file.</w:t>
      </w:r>
    </w:p>
    <w:p>
      <w:pPr>
        <w:spacing w:before="200" w:after="120" w:line="240" w:lineRule="auto"/>
        <w:pBdr>
          <w:bottom w:val="single" w:sz="8" w:space="4" w:color="1E88E5"/>
        </w:pBdr>
      </w:pPr>
      <w:r>
        <w:rPr>
          <w:b/>
          <w:color w:val="071827"/>
          <w:sz w:val="28"/>
        </w:rPr>
        <w:t>3. Capital Adequacy Calculation Dashboard</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Calculation Line</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Formula / Basis</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Amount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Reference</w:t>
            </w:r>
          </w:p>
        </w:tc>
      </w:tr>
      <w:tr>
        <w:tc>
          <w:tcPr>
            <w:tcW w:type="dxa" w:w="2664"/>
            <w:shd w:fill="F8FBFE"/>
            <w:vAlign w:val="center"/>
          </w:tcPr>
          <w:p>
            <w:pPr>
              <w:spacing w:after="0"/>
            </w:pPr>
            <w:r/>
            <w:r>
              <w:rPr>
                <w:b w:val="0"/>
                <w:i w:val="0"/>
                <w:sz w:val="15"/>
              </w:rPr>
              <w:t>A. Adjusted Liquid Capital</w:t>
            </w:r>
          </w:p>
        </w:tc>
        <w:tc>
          <w:tcPr>
            <w:tcW w:type="dxa" w:w="2664"/>
            <w:shd w:fill="F8FBFE"/>
            <w:vAlign w:val="center"/>
          </w:tcPr>
          <w:p>
            <w:pPr>
              <w:spacing w:after="0"/>
            </w:pPr>
            <w:r/>
            <w:r>
              <w:rPr>
                <w:b w:val="0"/>
                <w:i w:val="0"/>
                <w:sz w:val="15"/>
              </w:rPr>
              <w:t>Sum of eligible liquid capital less prescribed deductions</w:t>
            </w:r>
          </w:p>
        </w:tc>
        <w:tc>
          <w:tcPr>
            <w:tcW w:type="dxa" w:w="2664"/>
            <w:shd w:fill="F8FBFE"/>
            <w:vAlign w:val="center"/>
          </w:tcPr>
          <w:p>
            <w:pPr>
              <w:spacing w:after="0"/>
            </w:pPr>
            <w:r/>
            <w:r>
              <w:rPr>
                <w:b/>
                <w:i w:val="0"/>
                <w:color w:val="000000"/>
                <w:sz w:val="15"/>
                <w:highlight w:val="yellow"/>
              </w:rPr>
              <w:t xml:space="preserve">—</w:t>
            </w:r>
          </w:p>
        </w:tc>
        <w:tc>
          <w:tcPr>
            <w:tcW w:type="dxa" w:w="2664"/>
            <w:shd w:fill="F8FBFE"/>
            <w:vAlign w:val="center"/>
          </w:tcPr>
          <w:p>
            <w:pPr>
              <w:spacing w:after="0"/>
            </w:pPr>
            <w:r/>
            <w:r>
              <w:rPr>
                <w:b/>
                <w:i w:val="0"/>
                <w:color w:val="000000"/>
                <w:sz w:val="15"/>
                <w:highlight w:val="yellow"/>
              </w:rPr>
              <w:t xml:space="preserve">cmrfh75ti009fktfqnqp8c3at</w:t>
            </w:r>
          </w:p>
        </w:tc>
      </w:tr>
      <w:tr>
        <w:tc>
          <w:tcPr>
            <w:tcW w:type="dxa" w:w="2664"/>
            <w:vAlign w:val="center"/>
          </w:tcPr>
          <w:p>
            <w:pPr>
              <w:spacing w:after="0"/>
            </w:pPr>
            <w:r/>
            <w:r>
              <w:rPr>
                <w:b w:val="0"/>
                <w:i w:val="0"/>
                <w:sz w:val="15"/>
              </w:rPr>
              <w:t>B. Total Capital Requirement</w:t>
            </w:r>
          </w:p>
        </w:tc>
        <w:tc>
          <w:tcPr>
            <w:tcW w:type="dxa" w:w="2664"/>
            <w:vAlign w:val="center"/>
          </w:tcPr>
          <w:p>
            <w:pPr>
              <w:spacing w:after="0"/>
            </w:pPr>
            <w:r/>
            <w:r>
              <w:rPr>
                <w:b w:val="0"/>
                <w:i w:val="0"/>
                <w:sz w:val="15"/>
              </w:rPr>
              <w:t>Applicable base requirement plus risk/expense/add-on components</w:t>
            </w:r>
          </w:p>
        </w:tc>
        <w:tc>
          <w:tcPr>
            <w:tcW w:type="dxa" w:w="2664"/>
            <w:vAlign w:val="center"/>
          </w:tcPr>
          <w:p>
            <w:pPr>
              <w:spacing w:after="0"/>
            </w:pPr>
            <w:r/>
            <w:r>
              <w:rPr>
                <w:b/>
                <w:i w:val="0"/>
                <w:color w:val="000000"/>
                <w:sz w:val="15"/>
                <w:highlight w:val="yellow"/>
              </w:rPr>
              <w:t xml:space="preserve">—</w:t>
            </w:r>
          </w:p>
        </w:tc>
        <w:tc>
          <w:tcPr>
            <w:tcW w:type="dxa" w:w="2664"/>
            <w:vAlign w:val="center"/>
          </w:tcPr>
          <w:p>
            <w:pPr>
              <w:spacing w:after="0"/>
            </w:pPr>
            <w:r/>
            <w:r>
              <w:rPr>
                <w:b/>
                <w:i w:val="0"/>
                <w:color w:val="000000"/>
                <w:sz w:val="15"/>
                <w:highlight w:val="yellow"/>
              </w:rPr>
              <w:t xml:space="preserve">cmrfh75ti009fktfqnqp8c3at</w:t>
            </w:r>
          </w:p>
        </w:tc>
      </w:tr>
      <w:tr>
        <w:tc>
          <w:tcPr>
            <w:tcW w:type="dxa" w:w="2664"/>
            <w:shd w:fill="F8FBFE"/>
            <w:vAlign w:val="center"/>
          </w:tcPr>
          <w:p>
            <w:pPr>
              <w:spacing w:after="0"/>
            </w:pPr>
            <w:r/>
            <w:r>
              <w:rPr>
                <w:b w:val="0"/>
                <w:i w:val="0"/>
                <w:sz w:val="15"/>
              </w:rPr>
              <w:t>C. Capital Adequacy Ratio</w:t>
            </w:r>
          </w:p>
        </w:tc>
        <w:tc>
          <w:tcPr>
            <w:tcW w:type="dxa" w:w="2664"/>
            <w:shd w:fill="F8FBFE"/>
            <w:vAlign w:val="center"/>
          </w:tcPr>
          <w:p>
            <w:pPr>
              <w:spacing w:after="0"/>
            </w:pPr>
            <w:r/>
            <w:r>
              <w:rPr>
                <w:b w:val="0"/>
                <w:i w:val="0"/>
                <w:sz w:val="15"/>
              </w:rPr>
              <w:t>A divided by B, expressed as a percentage</w:t>
            </w:r>
          </w:p>
        </w:tc>
        <w:tc>
          <w:tcPr>
            <w:tcW w:type="dxa" w:w="2664"/>
            <w:shd w:fill="F8FBFE"/>
            <w:vAlign w:val="center"/>
          </w:tcPr>
          <w:p>
            <w:pPr>
              <w:spacing w:after="0"/>
            </w:pPr>
            <w:r/>
            <w:r>
              <w:rPr>
                <w:b/>
                <w:i w:val="0"/>
                <w:color w:val="000000"/>
                <w:sz w:val="15"/>
                <w:highlight w:val="yellow"/>
              </w:rPr>
              <w:t xml:space="preserve">—</w:t>
            </w:r>
            <w:r>
              <w:rPr>
                <w:b w:val="0"/>
                <w:i w:val="0"/>
                <w:sz w:val="15"/>
              </w:rPr>
              <w:t>%</w:t>
            </w:r>
          </w:p>
        </w:tc>
        <w:tc>
          <w:tcPr>
            <w:tcW w:type="dxa" w:w="2664"/>
            <w:shd w:fill="F8FBFE"/>
            <w:vAlign w:val="center"/>
          </w:tcPr>
          <w:p>
            <w:pPr>
              <w:spacing w:after="0"/>
            </w:pPr>
            <w:r/>
            <w:r>
              <w:rPr>
                <w:b/>
                <w:i w:val="0"/>
                <w:color w:val="000000"/>
                <w:sz w:val="15"/>
                <w:highlight w:val="yellow"/>
              </w:rPr>
              <w:t xml:space="preserve">cmrfh75ti009fktfqnqp8c3at</w:t>
            </w:r>
          </w:p>
        </w:tc>
      </w:tr>
      <w:tr>
        <w:tc>
          <w:tcPr>
            <w:tcW w:type="dxa" w:w="2664"/>
            <w:vAlign w:val="center"/>
          </w:tcPr>
          <w:p>
            <w:pPr>
              <w:spacing w:after="0"/>
            </w:pPr>
            <w:r/>
            <w:r>
              <w:rPr>
                <w:b w:val="0"/>
                <w:i w:val="0"/>
                <w:sz w:val="15"/>
              </w:rPr>
              <w:t>D. Minimum Required Threshold</w:t>
            </w:r>
          </w:p>
        </w:tc>
        <w:tc>
          <w:tcPr>
            <w:tcW w:type="dxa" w:w="2664"/>
            <w:vAlign w:val="center"/>
          </w:tcPr>
          <w:p>
            <w:pPr>
              <w:spacing w:after="0"/>
            </w:pPr>
            <w:r/>
            <w:r>
              <w:rPr>
                <w:b w:val="0"/>
                <w:i w:val="0"/>
                <w:sz w:val="15"/>
              </w:rPr>
              <w:t>Threshold applicable to licence category</w:t>
            </w:r>
          </w:p>
        </w:tc>
        <w:tc>
          <w:tcPr>
            <w:tcW w:type="dxa" w:w="2664"/>
            <w:vAlign w:val="center"/>
          </w:tcPr>
          <w:p>
            <w:pPr>
              <w:spacing w:after="0"/>
            </w:pPr>
            <w:r/>
            <w:r>
              <w:rPr>
                <w:b/>
                <w:i w:val="0"/>
                <w:color w:val="000000"/>
                <w:sz w:val="15"/>
                <w:highlight w:val="yellow"/>
              </w:rPr>
              <w:t xml:space="preserve">—</w:t>
            </w:r>
          </w:p>
        </w:tc>
        <w:tc>
          <w:tcPr>
            <w:tcW w:type="dxa" w:w="2664"/>
            <w:vAlign w:val="center"/>
          </w:tcPr>
          <w:p>
            <w:pPr>
              <w:spacing w:after="0"/>
            </w:pPr>
            <w:r/>
            <w:r>
              <w:rPr>
                <w:b/>
                <w:i w:val="0"/>
                <w:color w:val="000000"/>
                <w:sz w:val="15"/>
                <w:highlight w:val="yellow"/>
              </w:rPr>
              <w:t xml:space="preserve">cmrfh75ti009fktfqnqp8c3at</w:t>
            </w:r>
          </w:p>
        </w:tc>
      </w:tr>
      <w:tr>
        <w:tc>
          <w:tcPr>
            <w:tcW w:type="dxa" w:w="2664"/>
            <w:shd w:fill="F8FBFE"/>
            <w:vAlign w:val="center"/>
          </w:tcPr>
          <w:p>
            <w:pPr>
              <w:spacing w:after="0"/>
            </w:pPr>
            <w:r/>
            <w:r>
              <w:rPr>
                <w:b w:val="0"/>
                <w:i w:val="0"/>
                <w:sz w:val="15"/>
              </w:rPr>
              <w:t>E. Capital Buffer / (Shortfall)</w:t>
            </w:r>
          </w:p>
        </w:tc>
        <w:tc>
          <w:tcPr>
            <w:tcW w:type="dxa" w:w="2664"/>
            <w:shd w:fill="F8FBFE"/>
            <w:vAlign w:val="center"/>
          </w:tcPr>
          <w:p>
            <w:pPr>
              <w:spacing w:after="0"/>
            </w:pPr>
            <w:r/>
            <w:r>
              <w:rPr>
                <w:b w:val="0"/>
                <w:i w:val="0"/>
                <w:sz w:val="15"/>
              </w:rPr>
              <w:t>A less B, or ratio excess below/above threshold as applicable</w:t>
            </w:r>
          </w:p>
        </w:tc>
        <w:tc>
          <w:tcPr>
            <w:tcW w:type="dxa" w:w="2664"/>
            <w:shd w:fill="F8FBFE"/>
            <w:vAlign w:val="center"/>
          </w:tcPr>
          <w:p>
            <w:pPr>
              <w:spacing w:after="0"/>
            </w:pPr>
            <w:r/>
            <w:r>
              <w:rPr>
                <w:b/>
                <w:i w:val="0"/>
                <w:color w:val="000000"/>
                <w:sz w:val="15"/>
                <w:highlight w:val="yellow"/>
              </w:rPr>
              <w:t xml:space="preserve">—</w:t>
            </w:r>
          </w:p>
        </w:tc>
        <w:tc>
          <w:tcPr>
            <w:tcW w:type="dxa" w:w="2664"/>
            <w:shd w:fill="F8FBFE"/>
            <w:vAlign w:val="center"/>
          </w:tcPr>
          <w:p>
            <w:pPr>
              <w:spacing w:after="0"/>
            </w:pPr>
            <w:r/>
            <w:r>
              <w:rPr>
                <w:b/>
                <w:i w:val="0"/>
                <w:color w:val="000000"/>
                <w:sz w:val="15"/>
                <w:highlight w:val="yellow"/>
              </w:rPr>
              <w:t xml:space="preserve">cmrfh75ti009fktfqnqp8c3at</w:t>
            </w:r>
          </w:p>
        </w:tc>
      </w:tr>
    </w:tbl>
    <w:p>
      <w:pPr>
        <w:spacing w:after="80" w:line="240" w:lineRule="auto"/>
      </w:pPr>
    </w:p>
    <w:p>
      <w:pPr>
        <w:spacing w:after="120" w:line="240" w:lineRule="auto"/>
      </w:pPr>
      <w:r>
        <w:rPr>
          <w:b w:val="0"/>
          <w:i w:val="0"/>
          <w:sz w:val="17"/>
        </w:rPr>
        <w:t xml:space="preserve">Capital adequacy status: </w:t>
      </w:r>
      <w:r>
        <w:rPr>
          <w:b/>
          <w:i w:val="0"/>
          <w:color w:val="000000"/>
          <w:sz w:val="17"/>
          <w:highlight w:val="yellow"/>
        </w:rPr>
        <w:t xml:space="preserve">Pass</w:t>
      </w:r>
      <w:r>
        <w:rPr>
          <w:b w:val="0"/>
          <w:i w:val="0"/>
          <w:sz w:val="17"/>
        </w:rPr>
        <w:t xml:space="preserve">. Required management action: </w:t>
      </w:r>
      <w:r>
        <w:rPr>
          <w:b/>
          <w:i w:val="0"/>
          <w:color w:val="000000"/>
          <w:sz w:val="17"/>
          <w:highlight w:val="yellow"/>
        </w:rPr>
        <w:t xml:space="preserve">—</w:t>
      </w:r>
      <w:r>
        <w:rPr>
          <w:b w:val="0"/>
          <w:i w:val="0"/>
          <w:sz w:val="17"/>
        </w:rPr>
        <w:t>.</w:t>
      </w:r>
    </w:p>
    <w:p>
      <w:pPr>
        <w:spacing w:before="200" w:after="120" w:line="240" w:lineRule="auto"/>
        <w:pBdr>
          <w:bottom w:val="single" w:sz="8" w:space="4" w:color="1E88E5"/>
        </w:pBdr>
      </w:pPr>
      <w:r>
        <w:rPr>
          <w:b/>
          <w:color w:val="071827"/>
          <w:sz w:val="28"/>
        </w:rPr>
        <w:t>4. Adjusted Liquid Capital Schedule</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Use only eligible liquid capital items supported by the approved balance sheet, bank confirmations, custody statements and approved valuation records. Exclude client assets, restricted balances, illiquid assets and unsupported receivables unless specifically permitted by the applicable regulatory basis.</w:t>
            </w:r>
          </w:p>
        </w:tc>
      </w:tr>
    </w:tbl>
    <w:p>
      <w:pPr>
        <w:spacing w:after="40" w:line="240" w:lineRule="auto"/>
      </w:pP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Component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Treatment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Source / Evidence</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Amount</w:t>
            </w:r>
          </w:p>
        </w:tc>
      </w:tr>
      <w:tr>
        <w:tc>
          <w:tcPr>
            <w:tcW w:type="dxa" w:w="2664"/>
            <w:shd w:fill="F8FBFE"/>
            <w:vAlign w:val="center"/>
          </w:tcPr>
          <w:p>
            <w:pPr>
              <w:spacing w:after="0"/>
            </w:pPr>
            <w:r/>
            <w:r>
              <w:rPr>
                <w:b w:val="0"/>
                <w:i w:val="0"/>
                <w:sz w:val="14"/>
              </w:rPr>
              <w:t>Cash at bank - operational accounts</w:t>
            </w:r>
          </w:p>
        </w:tc>
        <w:tc>
          <w:tcPr>
            <w:tcW w:type="dxa" w:w="2664"/>
            <w:shd w:fill="F8FBFE"/>
            <w:vAlign w:val="center"/>
          </w:tcPr>
          <w:p>
            <w:pPr>
              <w:spacing w:after="0"/>
            </w:pPr>
            <w:r/>
            <w:r>
              <w:rPr>
                <w:b w:val="0"/>
                <w:i w:val="0"/>
                <w:sz w:val="14"/>
              </w:rPr>
              <w:t>Include if unrestricted and entity-owned</w:t>
            </w:r>
          </w:p>
        </w:tc>
        <w:tc>
          <w:tcPr>
            <w:tcW w:type="dxa" w:w="2664"/>
            <w:shd w:fill="F8FBFE"/>
            <w:vAlign w:val="center"/>
          </w:tcPr>
          <w:p>
            <w:pPr>
              <w:spacing w:after="0"/>
            </w:pPr>
            <w:r/>
            <w:r>
              <w:rPr>
                <w:b/>
                <w:i w:val="0"/>
                <w:color w:val="000000"/>
                <w:sz w:val="14"/>
                <w:highlight w:val="yellow"/>
              </w:rPr>
              <w:t xml:space="preserve">cmrfh75ti009fktfqnqp8c3at</w:t>
            </w:r>
          </w:p>
        </w:tc>
        <w:tc>
          <w:tcPr>
            <w:tcW w:type="dxa" w:w="2664"/>
            <w:shd w:fill="F8FBFE"/>
            <w:vAlign w:val="center"/>
          </w:tcPr>
          <w:p>
            <w:pPr>
              <w:spacing w:after="0"/>
            </w:pPr>
            <w:r/>
            <w:r>
              <w:rPr>
                <w:b/>
                <w:i w:val="0"/>
                <w:color w:val="000000"/>
                <w:sz w:val="14"/>
                <w:highlight w:val="yellow"/>
              </w:rPr>
              <w:t xml:space="preserve">USD 0.00</w:t>
            </w:r>
          </w:p>
        </w:tc>
      </w:tr>
      <w:tr>
        <w:tc>
          <w:tcPr>
            <w:tcW w:type="dxa" w:w="2664"/>
            <w:vAlign w:val="center"/>
          </w:tcPr>
          <w:p>
            <w:pPr>
              <w:spacing w:after="0"/>
            </w:pPr>
            <w:r/>
            <w:r>
              <w:rPr>
                <w:b w:val="0"/>
                <w:i w:val="0"/>
                <w:sz w:val="14"/>
              </w:rPr>
              <w:t>Cash equivalents / money market instruments</w:t>
            </w:r>
          </w:p>
        </w:tc>
        <w:tc>
          <w:tcPr>
            <w:tcW w:type="dxa" w:w="2664"/>
            <w:vAlign w:val="center"/>
          </w:tcPr>
          <w:p>
            <w:pPr>
              <w:spacing w:after="0"/>
            </w:pPr>
            <w:r/>
            <w:r>
              <w:rPr>
                <w:b w:val="0"/>
                <w:i w:val="0"/>
                <w:sz w:val="14"/>
              </w:rPr>
              <w:t>Include where eligible and readily realisable</w:t>
            </w:r>
          </w:p>
        </w:tc>
        <w:tc>
          <w:tcPr>
            <w:tcW w:type="dxa" w:w="2664"/>
            <w:vAlign w:val="center"/>
          </w:tcPr>
          <w:p>
            <w:pPr>
              <w:spacing w:after="0"/>
            </w:pPr>
            <w:r/>
            <w:r>
              <w:rPr>
                <w:b/>
                <w:i w:val="0"/>
                <w:color w:val="000000"/>
                <w:sz w:val="14"/>
                <w:highlight w:val="yellow"/>
              </w:rPr>
              <w:t xml:space="preserve">cmrfh75ti009fktfqnqp8c3at</w:t>
            </w:r>
          </w:p>
        </w:tc>
        <w:tc>
          <w:tcPr>
            <w:tcW w:type="dxa" w:w="2664"/>
            <w:vAlign w:val="center"/>
          </w:tcPr>
          <w:p>
            <w:pPr>
              <w:spacing w:after="0"/>
            </w:pPr>
            <w:r/>
            <w:r>
              <w:rPr>
                <w:b/>
                <w:i w:val="0"/>
                <w:color w:val="000000"/>
                <w:sz w:val="14"/>
                <w:highlight w:val="yellow"/>
              </w:rPr>
              <w:t xml:space="preserve">USD 0.00</w:t>
            </w:r>
          </w:p>
        </w:tc>
      </w:tr>
      <w:tr>
        <w:tc>
          <w:tcPr>
            <w:tcW w:type="dxa" w:w="2664"/>
            <w:shd w:fill="F8FBFE"/>
            <w:vAlign w:val="center"/>
          </w:tcPr>
          <w:p>
            <w:pPr>
              <w:spacing w:after="0"/>
            </w:pPr>
            <w:r/>
            <w:r>
              <w:rPr>
                <w:b w:val="0"/>
                <w:i w:val="0"/>
                <w:sz w:val="14"/>
              </w:rPr>
              <w:t>Eligible listed securities</w:t>
            </w:r>
          </w:p>
        </w:tc>
        <w:tc>
          <w:tcPr>
            <w:tcW w:type="dxa" w:w="2664"/>
            <w:shd w:fill="F8FBFE"/>
            <w:vAlign w:val="center"/>
          </w:tcPr>
          <w:p>
            <w:pPr>
              <w:spacing w:after="0"/>
            </w:pPr>
            <w:r/>
            <w:r>
              <w:rPr>
                <w:b w:val="0"/>
                <w:i w:val="0"/>
                <w:sz w:val="14"/>
              </w:rPr>
              <w:t>Include at approved market value subject to applicable haircuts</w:t>
            </w:r>
          </w:p>
        </w:tc>
        <w:tc>
          <w:tcPr>
            <w:tcW w:type="dxa" w:w="2664"/>
            <w:shd w:fill="F8FBFE"/>
            <w:vAlign w:val="center"/>
          </w:tcPr>
          <w:p>
            <w:pPr>
              <w:spacing w:after="0"/>
            </w:pPr>
            <w:r/>
            <w:r>
              <w:rPr>
                <w:b/>
                <w:i w:val="0"/>
                <w:color w:val="000000"/>
                <w:sz w:val="14"/>
                <w:highlight w:val="yellow"/>
              </w:rPr>
              <w:t xml:space="preserve">cmrfh75ti009fktfqnqp8c3at</w:t>
            </w:r>
          </w:p>
        </w:tc>
        <w:tc>
          <w:tcPr>
            <w:tcW w:type="dxa" w:w="2664"/>
            <w:shd w:fill="F8FBFE"/>
            <w:vAlign w:val="center"/>
          </w:tcPr>
          <w:p>
            <w:pPr>
              <w:spacing w:after="0"/>
            </w:pPr>
            <w:r/>
            <w:r>
              <w:rPr>
                <w:b/>
                <w:i w:val="0"/>
                <w:color w:val="000000"/>
                <w:sz w:val="14"/>
                <w:highlight w:val="yellow"/>
              </w:rPr>
              <w:t xml:space="preserve">USD 0.00</w:t>
            </w:r>
          </w:p>
        </w:tc>
      </w:tr>
      <w:tr>
        <w:tc>
          <w:tcPr>
            <w:tcW w:type="dxa" w:w="2664"/>
            <w:vAlign w:val="center"/>
          </w:tcPr>
          <w:p>
            <w:pPr>
              <w:spacing w:after="0"/>
            </w:pPr>
            <w:r/>
            <w:r>
              <w:rPr>
                <w:b w:val="0"/>
                <w:i w:val="0"/>
                <w:sz w:val="14"/>
              </w:rPr>
              <w:t>Eligible receivables</w:t>
            </w:r>
          </w:p>
        </w:tc>
        <w:tc>
          <w:tcPr>
            <w:tcW w:type="dxa" w:w="2664"/>
            <w:vAlign w:val="center"/>
          </w:tcPr>
          <w:p>
            <w:pPr>
              <w:spacing w:after="0"/>
            </w:pPr>
            <w:r/>
            <w:r>
              <w:rPr>
                <w:b w:val="0"/>
                <w:i w:val="0"/>
                <w:sz w:val="14"/>
              </w:rPr>
              <w:t>Include only allowable current receivables</w:t>
            </w:r>
          </w:p>
        </w:tc>
        <w:tc>
          <w:tcPr>
            <w:tcW w:type="dxa" w:w="2664"/>
            <w:vAlign w:val="center"/>
          </w:tcPr>
          <w:p>
            <w:pPr>
              <w:spacing w:after="0"/>
            </w:pPr>
            <w:r/>
            <w:r>
              <w:rPr>
                <w:b/>
                <w:i w:val="0"/>
                <w:color w:val="000000"/>
                <w:sz w:val="14"/>
                <w:highlight w:val="yellow"/>
              </w:rPr>
              <w:t xml:space="preserve">cmrfh75ti009fktfqnqp8c3at</w:t>
            </w:r>
          </w:p>
        </w:tc>
        <w:tc>
          <w:tcPr>
            <w:tcW w:type="dxa" w:w="2664"/>
            <w:vAlign w:val="center"/>
          </w:tcPr>
          <w:p>
            <w:pPr>
              <w:spacing w:after="0"/>
            </w:pPr>
            <w:r/>
            <w:r>
              <w:rPr>
                <w:b/>
                <w:i w:val="0"/>
                <w:color w:val="000000"/>
                <w:sz w:val="14"/>
                <w:highlight w:val="yellow"/>
              </w:rPr>
              <w:t xml:space="preserve">USD 0.00</w:t>
            </w:r>
          </w:p>
        </w:tc>
      </w:tr>
      <w:tr>
        <w:tc>
          <w:tcPr>
            <w:tcW w:type="dxa" w:w="2664"/>
            <w:shd w:fill="F8FBFE"/>
            <w:vAlign w:val="center"/>
          </w:tcPr>
          <w:p>
            <w:pPr>
              <w:spacing w:after="0"/>
            </w:pPr>
            <w:r/>
            <w:r>
              <w:rPr>
                <w:b w:val="0"/>
                <w:i w:val="0"/>
                <w:sz w:val="14"/>
              </w:rPr>
              <w:t>Other eligible liquid assets</w:t>
            </w:r>
          </w:p>
        </w:tc>
        <w:tc>
          <w:tcPr>
            <w:tcW w:type="dxa" w:w="2664"/>
            <w:shd w:fill="F8FBFE"/>
            <w:vAlign w:val="center"/>
          </w:tcPr>
          <w:p>
            <w:pPr>
              <w:spacing w:after="0"/>
            </w:pPr>
            <w:r/>
            <w:r>
              <w:rPr>
                <w:b/>
                <w:i w:val="0"/>
                <w:color w:val="000000"/>
                <w:sz w:val="14"/>
                <w:highlight w:val="yellow"/>
              </w:rPr>
              <w:t xml:space="preserve">Per approved investment operations policy and valuation records.</w:t>
            </w:r>
          </w:p>
        </w:tc>
        <w:tc>
          <w:tcPr>
            <w:tcW w:type="dxa" w:w="2664"/>
            <w:shd w:fill="F8FBFE"/>
            <w:vAlign w:val="center"/>
          </w:tcPr>
          <w:p>
            <w:pPr>
              <w:spacing w:after="0"/>
            </w:pPr>
            <w:r/>
            <w:r>
              <w:rPr>
                <w:b/>
                <w:i w:val="0"/>
                <w:color w:val="000000"/>
                <w:sz w:val="14"/>
                <w:highlight w:val="yellow"/>
              </w:rPr>
              <w:t xml:space="preserve">cmrfh75ti009fktfqnqp8c3at</w:t>
            </w:r>
          </w:p>
        </w:tc>
        <w:tc>
          <w:tcPr>
            <w:tcW w:type="dxa" w:w="2664"/>
            <w:shd w:fill="F8FBFE"/>
            <w:vAlign w:val="center"/>
          </w:tcPr>
          <w:p>
            <w:pPr>
              <w:spacing w:after="0"/>
            </w:pPr>
            <w:r/>
            <w:r>
              <w:rPr>
                <w:b/>
                <w:i w:val="0"/>
                <w:color w:val="000000"/>
                <w:sz w:val="14"/>
                <w:highlight w:val="yellow"/>
              </w:rPr>
              <w:t xml:space="preserve">USD 0.00</w:t>
            </w:r>
          </w:p>
        </w:tc>
      </w:tr>
      <w:tr>
        <w:tc>
          <w:tcPr>
            <w:tcW w:type="dxa" w:w="2664"/>
            <w:vAlign w:val="center"/>
          </w:tcPr>
          <w:p>
            <w:pPr>
              <w:spacing w:after="0"/>
            </w:pPr>
            <w:r/>
            <w:r>
              <w:rPr>
                <w:b w:val="0"/>
                <w:i w:val="0"/>
                <w:sz w:val="14"/>
              </w:rPr>
              <w:t>Less: ineligible / illiquid assets</w:t>
            </w:r>
          </w:p>
        </w:tc>
        <w:tc>
          <w:tcPr>
            <w:tcW w:type="dxa" w:w="2664"/>
            <w:vAlign w:val="center"/>
          </w:tcPr>
          <w:p>
            <w:pPr>
              <w:spacing w:after="0"/>
            </w:pPr>
            <w:r/>
            <w:r>
              <w:rPr>
                <w:b w:val="0"/>
                <w:i w:val="0"/>
                <w:sz w:val="14"/>
              </w:rPr>
              <w:t>Deduct non-qualifying assets</w:t>
            </w:r>
          </w:p>
        </w:tc>
        <w:tc>
          <w:tcPr>
            <w:tcW w:type="dxa" w:w="2664"/>
            <w:vAlign w:val="center"/>
          </w:tcPr>
          <w:p>
            <w:pPr>
              <w:spacing w:after="0"/>
            </w:pPr>
            <w:r/>
            <w:r>
              <w:rPr>
                <w:b/>
                <w:i w:val="0"/>
                <w:color w:val="000000"/>
                <w:sz w:val="14"/>
                <w:highlight w:val="yellow"/>
              </w:rPr>
              <w:t xml:space="preserve">cmrfh75ti009fktfqnqp8c3at</w:t>
            </w:r>
          </w:p>
        </w:tc>
        <w:tc>
          <w:tcPr>
            <w:tcW w:type="dxa" w:w="2664"/>
            <w:vAlign w:val="center"/>
          </w:tcPr>
          <w:p>
            <w:pPr>
              <w:spacing w:after="0"/>
            </w:pPr>
            <w:r/>
            <w:r>
              <w:rPr>
                <w:b w:val="0"/>
                <w:i w:val="0"/>
                <w:sz w:val="14"/>
              </w:rPr>
              <w:t>(</w:t>
            </w:r>
            <w:r>
              <w:rPr>
                <w:b/>
                <w:i w:val="0"/>
                <w:color w:val="000000"/>
                <w:sz w:val="14"/>
                <w:highlight w:val="yellow"/>
              </w:rPr>
              <w:t xml:space="preserve">USD 0.00</w:t>
            </w:r>
            <w:r>
              <w:rPr>
                <w:b w:val="0"/>
                <w:i w:val="0"/>
                <w:sz w:val="14"/>
              </w:rPr>
              <w:t>)</w:t>
            </w:r>
          </w:p>
        </w:tc>
      </w:tr>
      <w:tr>
        <w:tc>
          <w:tcPr>
            <w:tcW w:type="dxa" w:w="2664"/>
            <w:shd w:fill="F8FBFE"/>
            <w:vAlign w:val="center"/>
          </w:tcPr>
          <w:p>
            <w:pPr>
              <w:spacing w:after="0"/>
            </w:pPr>
            <w:r/>
            <w:r>
              <w:rPr>
                <w:b w:val="0"/>
                <w:i w:val="0"/>
                <w:sz w:val="14"/>
              </w:rPr>
              <w:t>Less: related-party / doubtful receivables</w:t>
            </w:r>
          </w:p>
        </w:tc>
        <w:tc>
          <w:tcPr>
            <w:tcW w:type="dxa" w:w="2664"/>
            <w:shd w:fill="F8FBFE"/>
            <w:vAlign w:val="center"/>
          </w:tcPr>
          <w:p>
            <w:pPr>
              <w:spacing w:after="0"/>
            </w:pPr>
            <w:r/>
            <w:r>
              <w:rPr>
                <w:b w:val="0"/>
                <w:i w:val="0"/>
                <w:sz w:val="14"/>
              </w:rPr>
              <w:t>Deduct where not eligible or not recoverable</w:t>
            </w:r>
          </w:p>
        </w:tc>
        <w:tc>
          <w:tcPr>
            <w:tcW w:type="dxa" w:w="2664"/>
            <w:shd w:fill="F8FBFE"/>
            <w:vAlign w:val="center"/>
          </w:tcPr>
          <w:p>
            <w:pPr>
              <w:spacing w:after="0"/>
            </w:pPr>
            <w:r/>
            <w:r>
              <w:rPr>
                <w:b/>
                <w:i w:val="0"/>
                <w:color w:val="000000"/>
                <w:sz w:val="14"/>
                <w:highlight w:val="yellow"/>
              </w:rPr>
              <w:t xml:space="preserve">cmrfh75ti009fktfqnqp8c3at</w:t>
            </w:r>
          </w:p>
        </w:tc>
        <w:tc>
          <w:tcPr>
            <w:tcW w:type="dxa" w:w="2664"/>
            <w:shd w:fill="F8FBFE"/>
            <w:vAlign w:val="center"/>
          </w:tcPr>
          <w:p>
            <w:pPr>
              <w:spacing w:after="0"/>
            </w:pPr>
            <w:r/>
            <w:r>
              <w:rPr>
                <w:b w:val="0"/>
                <w:i w:val="0"/>
                <w:sz w:val="14"/>
              </w:rPr>
              <w:t>(</w:t>
            </w:r>
            <w:r>
              <w:rPr>
                <w:b/>
                <w:i w:val="0"/>
                <w:color w:val="000000"/>
                <w:sz w:val="14"/>
                <w:highlight w:val="yellow"/>
              </w:rPr>
              <w:t xml:space="preserve">USD 0.00</w:t>
            </w:r>
            <w:r>
              <w:rPr>
                <w:b w:val="0"/>
                <w:i w:val="0"/>
                <w:sz w:val="14"/>
              </w:rPr>
              <w:t>)</w:t>
            </w:r>
          </w:p>
        </w:tc>
      </w:tr>
      <w:tr>
        <w:tc>
          <w:tcPr>
            <w:tcW w:type="dxa" w:w="2664"/>
            <w:vAlign w:val="center"/>
          </w:tcPr>
          <w:p>
            <w:pPr>
              <w:spacing w:after="0"/>
            </w:pPr>
            <w:r/>
            <w:r>
              <w:rPr>
                <w:b w:val="0"/>
                <w:i w:val="0"/>
                <w:sz w:val="14"/>
              </w:rPr>
              <w:t>Less: restricted cash / client money</w:t>
            </w:r>
          </w:p>
        </w:tc>
        <w:tc>
          <w:tcPr>
            <w:tcW w:type="dxa" w:w="2664"/>
            <w:vAlign w:val="center"/>
          </w:tcPr>
          <w:p>
            <w:pPr>
              <w:spacing w:after="0"/>
            </w:pPr>
            <w:r/>
            <w:r>
              <w:rPr>
                <w:b w:val="0"/>
                <w:i w:val="0"/>
                <w:sz w:val="14"/>
              </w:rPr>
              <w:t>Deduct assets not available to meet own obligations</w:t>
            </w:r>
          </w:p>
        </w:tc>
        <w:tc>
          <w:tcPr>
            <w:tcW w:type="dxa" w:w="2664"/>
            <w:vAlign w:val="center"/>
          </w:tcPr>
          <w:p>
            <w:pPr>
              <w:spacing w:after="0"/>
            </w:pPr>
            <w:r/>
            <w:r>
              <w:rPr>
                <w:b/>
                <w:i w:val="0"/>
                <w:color w:val="000000"/>
                <w:sz w:val="14"/>
                <w:highlight w:val="yellow"/>
              </w:rPr>
              <w:t xml:space="preserve">cmrfh75ti009fktfqnqp8c3at</w:t>
            </w:r>
          </w:p>
        </w:tc>
        <w:tc>
          <w:tcPr>
            <w:tcW w:type="dxa" w:w="2664"/>
            <w:vAlign w:val="center"/>
          </w:tcPr>
          <w:p>
            <w:pPr>
              <w:spacing w:after="0"/>
            </w:pPr>
            <w:r/>
            <w:r>
              <w:rPr>
                <w:b w:val="0"/>
                <w:i w:val="0"/>
                <w:sz w:val="14"/>
              </w:rPr>
              <w:t>(</w:t>
            </w:r>
            <w:r>
              <w:rPr>
                <w:b/>
                <w:i w:val="0"/>
                <w:color w:val="000000"/>
                <w:sz w:val="14"/>
                <w:highlight w:val="yellow"/>
              </w:rPr>
              <w:t xml:space="preserve">USD 0.00</w:t>
            </w:r>
            <w:r>
              <w:rPr>
                <w:b w:val="0"/>
                <w:i w:val="0"/>
                <w:sz w:val="14"/>
              </w:rPr>
              <w:t>)</w:t>
            </w:r>
          </w:p>
        </w:tc>
      </w:tr>
      <w:tr>
        <w:tc>
          <w:tcPr>
            <w:tcW w:type="dxa" w:w="2664"/>
            <w:shd w:fill="F8FBFE"/>
            <w:vAlign w:val="center"/>
          </w:tcPr>
          <w:p>
            <w:pPr>
              <w:spacing w:after="0"/>
            </w:pPr>
            <w:r/>
            <w:r>
              <w:rPr>
                <w:b w:val="0"/>
                <w:i w:val="0"/>
                <w:sz w:val="14"/>
              </w:rPr>
              <w:t>Less: applicable regulatory haircuts</w:t>
            </w:r>
          </w:p>
        </w:tc>
        <w:tc>
          <w:tcPr>
            <w:tcW w:type="dxa" w:w="2664"/>
            <w:shd w:fill="F8FBFE"/>
            <w:vAlign w:val="center"/>
          </w:tcPr>
          <w:p>
            <w:pPr>
              <w:spacing w:after="0"/>
            </w:pPr>
            <w:r/>
            <w:r>
              <w:rPr>
                <w:b w:val="0"/>
                <w:i w:val="0"/>
                <w:sz w:val="14"/>
              </w:rPr>
              <w:t>Apply prescribed or policy haircuts</w:t>
            </w:r>
          </w:p>
        </w:tc>
        <w:tc>
          <w:tcPr>
            <w:tcW w:type="dxa" w:w="2664"/>
            <w:shd w:fill="F8FBFE"/>
            <w:vAlign w:val="center"/>
          </w:tcPr>
          <w:p>
            <w:pPr>
              <w:spacing w:after="0"/>
            </w:pPr>
            <w:r/>
            <w:r>
              <w:rPr>
                <w:b/>
                <w:i w:val="0"/>
                <w:color w:val="000000"/>
                <w:sz w:val="14"/>
                <w:highlight w:val="yellow"/>
              </w:rPr>
              <w:t xml:space="preserve">cmrfh75ti009fktfqnqp8c3at</w:t>
            </w:r>
          </w:p>
        </w:tc>
        <w:tc>
          <w:tcPr>
            <w:tcW w:type="dxa" w:w="2664"/>
            <w:shd w:fill="F8FBFE"/>
            <w:vAlign w:val="center"/>
          </w:tcPr>
          <w:p>
            <w:pPr>
              <w:spacing w:after="0"/>
            </w:pPr>
            <w:r/>
            <w:r>
              <w:rPr>
                <w:b w:val="0"/>
                <w:i w:val="0"/>
                <w:sz w:val="14"/>
              </w:rPr>
              <w:t>(</w:t>
            </w:r>
            <w:r>
              <w:rPr>
                <w:b/>
                <w:i w:val="0"/>
                <w:color w:val="000000"/>
                <w:sz w:val="14"/>
                <w:highlight w:val="yellow"/>
              </w:rPr>
              <w:t xml:space="preserve">USD 0.00</w:t>
            </w:r>
            <w:r>
              <w:rPr>
                <w:b w:val="0"/>
                <w:i w:val="0"/>
                <w:sz w:val="14"/>
              </w:rPr>
              <w:t>)</w:t>
            </w:r>
          </w:p>
        </w:tc>
      </w:tr>
      <w:tr>
        <w:tc>
          <w:tcPr>
            <w:tcW w:type="dxa" w:w="2664"/>
            <w:vAlign w:val="center"/>
          </w:tcPr>
          <w:p>
            <w:pPr>
              <w:spacing w:after="0"/>
            </w:pPr>
            <w:r/>
            <w:r>
              <w:rPr>
                <w:b w:val="0"/>
                <w:i w:val="0"/>
                <w:sz w:val="14"/>
              </w:rPr>
              <w:t>Adjusted Liquid Capital</w:t>
            </w:r>
          </w:p>
        </w:tc>
        <w:tc>
          <w:tcPr>
            <w:tcW w:type="dxa" w:w="2664"/>
            <w:vAlign w:val="center"/>
          </w:tcPr>
          <w:p>
            <w:pPr>
              <w:spacing w:after="0"/>
            </w:pPr>
            <w:r/>
            <w:r>
              <w:rPr>
                <w:b w:val="0"/>
                <w:i w:val="0"/>
                <w:sz w:val="14"/>
              </w:rPr>
              <w:t>Total eligible capital after deductions</w:t>
            </w:r>
          </w:p>
        </w:tc>
        <w:tc>
          <w:tcPr>
            <w:tcW w:type="dxa" w:w="2664"/>
            <w:vAlign w:val="center"/>
          </w:tcPr>
          <w:p>
            <w:pPr>
              <w:spacing w:after="0"/>
            </w:pPr>
            <w:r/>
            <w:r>
              <w:rPr>
                <w:b/>
                <w:i w:val="0"/>
                <w:color w:val="000000"/>
                <w:sz w:val="14"/>
                <w:highlight w:val="yellow"/>
              </w:rPr>
              <w:t xml:space="preserve">cmrfh75ti009fktfqnqp8c3at</w:t>
            </w:r>
          </w:p>
        </w:tc>
        <w:tc>
          <w:tcPr>
            <w:tcW w:type="dxa" w:w="2664"/>
            <w:vAlign w:val="center"/>
          </w:tcPr>
          <w:p>
            <w:pPr>
              <w:spacing w:after="0"/>
            </w:pPr>
            <w:r/>
            <w:r>
              <w:rPr>
                <w:b/>
                <w:i w:val="0"/>
                <w:color w:val="000000"/>
                <w:sz w:val="14"/>
                <w:highlight w:val="yellow"/>
              </w:rPr>
              <w:t xml:space="preserve">—</w:t>
            </w:r>
          </w:p>
        </w:tc>
      </w:tr>
    </w:tbl>
    <w:p>
      <w:pPr>
        <w:spacing w:after="80" w:line="240" w:lineRule="auto"/>
      </w:pPr>
    </w:p>
    <w:p>
      <w:pPr>
        <w:spacing w:before="200" w:after="120" w:line="240" w:lineRule="auto"/>
        <w:pBdr>
          <w:bottom w:val="single" w:sz="8" w:space="4" w:color="1E88E5"/>
        </w:pBdr>
      </w:pPr>
      <w:r>
        <w:rPr>
          <w:b/>
          <w:color w:val="071827"/>
          <w:sz w:val="28"/>
        </w:rPr>
        <w:t>5. Total Capital Requirement Schedule</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Populate each requirement component based on the entity licence type and the current regulatory computation basis. Use nil only where a component is not applicable and document the reason.</w:t>
            </w:r>
          </w:p>
        </w:tc>
      </w:tr>
    </w:tbl>
    <w:p>
      <w:pPr>
        <w:spacing w:after="40" w:line="240" w:lineRule="auto"/>
      </w:pP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Requirement Component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Computation Basis</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Amount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Evidence / Comment</w:t>
            </w:r>
          </w:p>
        </w:tc>
      </w:tr>
      <w:tr>
        <w:tc>
          <w:tcPr>
            <w:tcW w:type="dxa" w:w="2664"/>
            <w:shd w:fill="F8FBFE"/>
            <w:vAlign w:val="center"/>
          </w:tcPr>
          <w:p>
            <w:pPr>
              <w:spacing w:after="0"/>
            </w:pPr>
            <w:r/>
            <w:r>
              <w:rPr>
                <w:b w:val="0"/>
                <w:i w:val="0"/>
                <w:sz w:val="14"/>
              </w:rPr>
              <w:t>Base minimum capital requirement</w:t>
            </w:r>
          </w:p>
        </w:tc>
        <w:tc>
          <w:tcPr>
            <w:tcW w:type="dxa" w:w="2664"/>
            <w:shd w:fill="F8FBFE"/>
            <w:vAlign w:val="center"/>
          </w:tcPr>
          <w:p>
            <w:pPr>
              <w:spacing w:after="0"/>
            </w:pPr>
            <w:r/>
            <w:r>
              <w:rPr>
                <w:b/>
                <w:i w:val="0"/>
                <w:color w:val="000000"/>
                <w:sz w:val="14"/>
                <w:highlight w:val="yellow"/>
              </w:rPr>
              <w:t xml:space="preserve">Per approved investment operations policy and valuation records.</w:t>
            </w:r>
          </w:p>
        </w:tc>
        <w:tc>
          <w:tcPr>
            <w:tcW w:type="dxa" w:w="2664"/>
            <w:shd w:fill="F8FBFE"/>
            <w:vAlign w:val="center"/>
          </w:tcPr>
          <w:p>
            <w:pPr>
              <w:spacing w:after="0"/>
            </w:pPr>
            <w:r/>
            <w:r>
              <w:rPr>
                <w:b/>
                <w:i w:val="0"/>
                <w:color w:val="000000"/>
                <w:sz w:val="14"/>
                <w:highlight w:val="yellow"/>
              </w:rPr>
              <w:t xml:space="preserve">—</w:t>
            </w:r>
          </w:p>
        </w:tc>
        <w:tc>
          <w:tcPr>
            <w:tcW w:type="dxa" w:w="2664"/>
            <w:shd w:fill="F8FBFE"/>
            <w:vAlign w:val="center"/>
          </w:tcPr>
          <w:p>
            <w:pPr>
              <w:spacing w:after="0"/>
            </w:pPr>
            <w:r/>
            <w:r>
              <w:rPr>
                <w:b/>
                <w:i w:val="0"/>
                <w:color w:val="000000"/>
                <w:sz w:val="14"/>
                <w:highlight w:val="yellow"/>
              </w:rPr>
              <w:t xml:space="preserve">cmrfh75ti009fktfqnqp8c3at</w:t>
            </w:r>
          </w:p>
        </w:tc>
      </w:tr>
      <w:tr>
        <w:tc>
          <w:tcPr>
            <w:tcW w:type="dxa" w:w="2664"/>
            <w:vAlign w:val="center"/>
          </w:tcPr>
          <w:p>
            <w:pPr>
              <w:spacing w:after="0"/>
            </w:pPr>
            <w:r/>
            <w:r>
              <w:rPr>
                <w:b w:val="0"/>
                <w:i w:val="0"/>
                <w:sz w:val="14"/>
              </w:rPr>
              <w:t>Expense-based requirement</w:t>
            </w:r>
          </w:p>
        </w:tc>
        <w:tc>
          <w:tcPr>
            <w:tcW w:type="dxa" w:w="2664"/>
            <w:vAlign w:val="center"/>
          </w:tcPr>
          <w:p>
            <w:pPr>
              <w:spacing w:after="0"/>
            </w:pPr>
            <w:r/>
            <w:r>
              <w:rPr>
                <w:b/>
                <w:i w:val="0"/>
                <w:color w:val="000000"/>
                <w:sz w:val="14"/>
                <w:highlight w:val="yellow"/>
              </w:rPr>
              <w:t xml:space="preserve">—</w:t>
            </w:r>
          </w:p>
        </w:tc>
        <w:tc>
          <w:tcPr>
            <w:tcW w:type="dxa" w:w="2664"/>
            <w:vAlign w:val="center"/>
          </w:tcPr>
          <w:p>
            <w:pPr>
              <w:spacing w:after="0"/>
            </w:pPr>
            <w:r/>
            <w:r>
              <w:rPr>
                <w:b/>
                <w:i w:val="0"/>
                <w:color w:val="000000"/>
                <w:sz w:val="14"/>
                <w:highlight w:val="yellow"/>
              </w:rPr>
              <w:t xml:space="preserve">—</w:t>
            </w:r>
          </w:p>
        </w:tc>
        <w:tc>
          <w:tcPr>
            <w:tcW w:type="dxa" w:w="2664"/>
            <w:vAlign w:val="center"/>
          </w:tcPr>
          <w:p>
            <w:pPr>
              <w:spacing w:after="0"/>
            </w:pPr>
            <w:r/>
            <w:r>
              <w:rPr>
                <w:b/>
                <w:i w:val="0"/>
                <w:color w:val="000000"/>
                <w:sz w:val="14"/>
                <w:highlight w:val="yellow"/>
              </w:rPr>
              <w:t xml:space="preserve">cmrfh75ti009fktfqnqp8c3at</w:t>
            </w:r>
          </w:p>
        </w:tc>
      </w:tr>
      <w:tr>
        <w:tc>
          <w:tcPr>
            <w:tcW w:type="dxa" w:w="2664"/>
            <w:shd w:fill="F8FBFE"/>
            <w:vAlign w:val="center"/>
          </w:tcPr>
          <w:p>
            <w:pPr>
              <w:spacing w:after="0"/>
            </w:pPr>
            <w:r/>
            <w:r>
              <w:rPr>
                <w:b w:val="0"/>
                <w:i w:val="0"/>
                <w:sz w:val="14"/>
              </w:rPr>
              <w:t>AUM / FUM-based component</w:t>
            </w:r>
          </w:p>
        </w:tc>
        <w:tc>
          <w:tcPr>
            <w:tcW w:type="dxa" w:w="2664"/>
            <w:shd w:fill="F8FBFE"/>
            <w:vAlign w:val="center"/>
          </w:tcPr>
          <w:p>
            <w:pPr>
              <w:spacing w:after="0"/>
            </w:pPr>
            <w:r/>
            <w:r>
              <w:rPr>
                <w:b/>
                <w:i w:val="0"/>
                <w:color w:val="000000"/>
                <w:sz w:val="14"/>
                <w:highlight w:val="yellow"/>
              </w:rPr>
              <w:t xml:space="preserve">USD 0.00</w:t>
            </w:r>
          </w:p>
        </w:tc>
        <w:tc>
          <w:tcPr>
            <w:tcW w:type="dxa" w:w="2664"/>
            <w:shd w:fill="F8FBFE"/>
            <w:vAlign w:val="center"/>
          </w:tcPr>
          <w:p>
            <w:pPr>
              <w:spacing w:after="0"/>
            </w:pPr>
            <w:r/>
            <w:r>
              <w:rPr>
                <w:b/>
                <w:i w:val="0"/>
                <w:color w:val="000000"/>
                <w:sz w:val="14"/>
                <w:highlight w:val="yellow"/>
              </w:rPr>
              <w:t xml:space="preserve">USD 0.00</w:t>
            </w:r>
          </w:p>
        </w:tc>
        <w:tc>
          <w:tcPr>
            <w:tcW w:type="dxa" w:w="2664"/>
            <w:shd w:fill="F8FBFE"/>
            <w:vAlign w:val="center"/>
          </w:tcPr>
          <w:p>
            <w:pPr>
              <w:spacing w:after="0"/>
            </w:pPr>
            <w:r/>
            <w:r>
              <w:rPr>
                <w:b/>
                <w:i w:val="0"/>
                <w:color w:val="000000"/>
                <w:sz w:val="14"/>
                <w:highlight w:val="yellow"/>
              </w:rPr>
              <w:t xml:space="preserve">USD 0.00</w:t>
            </w:r>
          </w:p>
        </w:tc>
      </w:tr>
      <w:tr>
        <w:tc>
          <w:tcPr>
            <w:tcW w:type="dxa" w:w="2664"/>
            <w:vAlign w:val="center"/>
          </w:tcPr>
          <w:p>
            <w:pPr>
              <w:spacing w:after="0"/>
            </w:pPr>
            <w:r/>
            <w:r>
              <w:rPr>
                <w:b w:val="0"/>
                <w:i w:val="0"/>
                <w:sz w:val="14"/>
              </w:rPr>
              <w:t>Operational risk component</w:t>
            </w:r>
          </w:p>
        </w:tc>
        <w:tc>
          <w:tcPr>
            <w:tcW w:type="dxa" w:w="2664"/>
            <w:vAlign w:val="center"/>
          </w:tcPr>
          <w:p>
            <w:pPr>
              <w:spacing w:after="0"/>
            </w:pPr>
            <w:r/>
            <w:r>
              <w:rPr>
                <w:b/>
                <w:i w:val="0"/>
                <w:color w:val="000000"/>
                <w:sz w:val="14"/>
                <w:highlight w:val="yellow"/>
              </w:rPr>
              <w:t xml:space="preserve">—</w:t>
            </w:r>
          </w:p>
        </w:tc>
        <w:tc>
          <w:tcPr>
            <w:tcW w:type="dxa" w:w="2664"/>
            <w:vAlign w:val="center"/>
          </w:tcPr>
          <w:p>
            <w:pPr>
              <w:spacing w:after="0"/>
            </w:pPr>
            <w:r/>
            <w:r>
              <w:rPr>
                <w:b/>
                <w:i w:val="0"/>
                <w:color w:val="000000"/>
                <w:sz w:val="14"/>
                <w:highlight w:val="yellow"/>
              </w:rPr>
              <w:t xml:space="preserve">—</w:t>
            </w:r>
          </w:p>
        </w:tc>
        <w:tc>
          <w:tcPr>
            <w:tcW w:type="dxa" w:w="2664"/>
            <w:vAlign w:val="center"/>
          </w:tcPr>
          <w:p>
            <w:pPr>
              <w:spacing w:after="0"/>
            </w:pPr>
            <w:r/>
            <w:r>
              <w:rPr>
                <w:b/>
                <w:i w:val="0"/>
                <w:color w:val="000000"/>
                <w:sz w:val="14"/>
                <w:highlight w:val="yellow"/>
              </w:rPr>
              <w:t xml:space="preserve">cmrfh75ti009fktfqnqp8c3at</w:t>
            </w:r>
          </w:p>
        </w:tc>
      </w:tr>
      <w:tr>
        <w:tc>
          <w:tcPr>
            <w:tcW w:type="dxa" w:w="2664"/>
            <w:shd w:fill="F8FBFE"/>
            <w:vAlign w:val="center"/>
          </w:tcPr>
          <w:p>
            <w:pPr>
              <w:spacing w:after="0"/>
            </w:pPr>
            <w:r/>
            <w:r>
              <w:rPr>
                <w:b w:val="0"/>
                <w:i w:val="0"/>
                <w:sz w:val="14"/>
              </w:rPr>
              <w:t>Market risk / position risk component</w:t>
            </w:r>
          </w:p>
        </w:tc>
        <w:tc>
          <w:tcPr>
            <w:tcW w:type="dxa" w:w="2664"/>
            <w:shd w:fill="F8FBFE"/>
            <w:vAlign w:val="center"/>
          </w:tcPr>
          <w:p>
            <w:pPr>
              <w:spacing w:after="0"/>
            </w:pPr>
            <w:r/>
            <w:r>
              <w:rPr>
                <w:b/>
                <w:i w:val="0"/>
                <w:color w:val="000000"/>
                <w:sz w:val="14"/>
                <w:highlight w:val="yellow"/>
              </w:rPr>
              <w:t xml:space="preserve">—</w:t>
            </w:r>
          </w:p>
        </w:tc>
        <w:tc>
          <w:tcPr>
            <w:tcW w:type="dxa" w:w="2664"/>
            <w:shd w:fill="F8FBFE"/>
            <w:vAlign w:val="center"/>
          </w:tcPr>
          <w:p>
            <w:pPr>
              <w:spacing w:after="0"/>
            </w:pPr>
            <w:r/>
            <w:r>
              <w:rPr>
                <w:b/>
                <w:i w:val="0"/>
                <w:color w:val="000000"/>
                <w:sz w:val="14"/>
                <w:highlight w:val="yellow"/>
              </w:rPr>
              <w:t xml:space="preserve">—</w:t>
            </w:r>
          </w:p>
        </w:tc>
        <w:tc>
          <w:tcPr>
            <w:tcW w:type="dxa" w:w="2664"/>
            <w:shd w:fill="F8FBFE"/>
            <w:vAlign w:val="center"/>
          </w:tcPr>
          <w:p>
            <w:pPr>
              <w:spacing w:after="0"/>
            </w:pPr>
            <w:r/>
            <w:r>
              <w:rPr>
                <w:b/>
                <w:i w:val="0"/>
                <w:color w:val="000000"/>
                <w:sz w:val="14"/>
                <w:highlight w:val="yellow"/>
              </w:rPr>
              <w:t xml:space="preserve">cmrfh75ti009fktfqnqp8c3at</w:t>
            </w:r>
          </w:p>
        </w:tc>
      </w:tr>
      <w:tr>
        <w:tc>
          <w:tcPr>
            <w:tcW w:type="dxa" w:w="2664"/>
            <w:vAlign w:val="center"/>
          </w:tcPr>
          <w:p>
            <w:pPr>
              <w:spacing w:after="0"/>
            </w:pPr>
            <w:r/>
            <w:r>
              <w:rPr>
                <w:b w:val="0"/>
                <w:i w:val="0"/>
                <w:sz w:val="14"/>
              </w:rPr>
              <w:t>Credit / counterparty risk component</w:t>
            </w:r>
          </w:p>
        </w:tc>
        <w:tc>
          <w:tcPr>
            <w:tcW w:type="dxa" w:w="2664"/>
            <w:vAlign w:val="center"/>
          </w:tcPr>
          <w:p>
            <w:pPr>
              <w:spacing w:after="0"/>
            </w:pPr>
            <w:r/>
            <w:r>
              <w:rPr>
                <w:b/>
                <w:i w:val="0"/>
                <w:color w:val="000000"/>
                <w:sz w:val="14"/>
                <w:highlight w:val="yellow"/>
              </w:rPr>
              <w:t xml:space="preserve">0</w:t>
            </w:r>
          </w:p>
        </w:tc>
        <w:tc>
          <w:tcPr>
            <w:tcW w:type="dxa" w:w="2664"/>
            <w:vAlign w:val="center"/>
          </w:tcPr>
          <w:p>
            <w:pPr>
              <w:spacing w:after="0"/>
            </w:pPr>
            <w:r/>
            <w:r>
              <w:rPr>
                <w:b/>
                <w:i w:val="0"/>
                <w:color w:val="000000"/>
                <w:sz w:val="14"/>
                <w:highlight w:val="yellow"/>
              </w:rPr>
              <w:t xml:space="preserve">0</w:t>
            </w:r>
          </w:p>
        </w:tc>
        <w:tc>
          <w:tcPr>
            <w:tcW w:type="dxa" w:w="2664"/>
            <w:vAlign w:val="center"/>
          </w:tcPr>
          <w:p>
            <w:pPr>
              <w:spacing w:after="0"/>
            </w:pPr>
            <w:r/>
            <w:r>
              <w:rPr>
                <w:b/>
                <w:i w:val="0"/>
                <w:color w:val="000000"/>
                <w:sz w:val="14"/>
                <w:highlight w:val="yellow"/>
              </w:rPr>
              <w:t xml:space="preserve">cmrfh75ti009fktfqnqp8c3at</w:t>
            </w:r>
          </w:p>
        </w:tc>
      </w:tr>
      <w:tr>
        <w:tc>
          <w:tcPr>
            <w:tcW w:type="dxa" w:w="2664"/>
            <w:shd w:fill="F8FBFE"/>
            <w:vAlign w:val="center"/>
          </w:tcPr>
          <w:p>
            <w:pPr>
              <w:spacing w:after="0"/>
            </w:pPr>
            <w:r/>
            <w:r>
              <w:rPr>
                <w:b w:val="0"/>
                <w:i w:val="0"/>
                <w:sz w:val="14"/>
              </w:rPr>
              <w:t>Settlement / custody risk component</w:t>
            </w:r>
          </w:p>
        </w:tc>
        <w:tc>
          <w:tcPr>
            <w:tcW w:type="dxa" w:w="2664"/>
            <w:shd w:fill="F8FBFE"/>
            <w:vAlign w:val="center"/>
          </w:tcPr>
          <w:p>
            <w:pPr>
              <w:spacing w:after="0"/>
            </w:pPr>
            <w:r/>
            <w:r>
              <w:rPr>
                <w:b/>
                <w:i w:val="0"/>
                <w:color w:val="000000"/>
                <w:sz w:val="14"/>
                <w:highlight w:val="yellow"/>
              </w:rPr>
              <w:t xml:space="preserve">—</w:t>
            </w:r>
          </w:p>
        </w:tc>
        <w:tc>
          <w:tcPr>
            <w:tcW w:type="dxa" w:w="2664"/>
            <w:shd w:fill="F8FBFE"/>
            <w:vAlign w:val="center"/>
          </w:tcPr>
          <w:p>
            <w:pPr>
              <w:spacing w:after="0"/>
            </w:pPr>
            <w:r/>
            <w:r>
              <w:rPr>
                <w:b/>
                <w:i w:val="0"/>
                <w:color w:val="000000"/>
                <w:sz w:val="14"/>
                <w:highlight w:val="yellow"/>
              </w:rPr>
              <w:t xml:space="preserve">—</w:t>
            </w:r>
          </w:p>
        </w:tc>
        <w:tc>
          <w:tcPr>
            <w:tcW w:type="dxa" w:w="2664"/>
            <w:shd w:fill="F8FBFE"/>
            <w:vAlign w:val="center"/>
          </w:tcPr>
          <w:p>
            <w:pPr>
              <w:spacing w:after="0"/>
            </w:pPr>
            <w:r/>
            <w:r>
              <w:rPr>
                <w:b/>
                <w:i w:val="0"/>
                <w:color w:val="000000"/>
                <w:sz w:val="14"/>
                <w:highlight w:val="yellow"/>
              </w:rPr>
              <w:t xml:space="preserve">cmrfh75ti009fktfqnqp8c3at</w:t>
            </w:r>
          </w:p>
        </w:tc>
      </w:tr>
      <w:tr>
        <w:tc>
          <w:tcPr>
            <w:tcW w:type="dxa" w:w="2664"/>
            <w:vAlign w:val="center"/>
          </w:tcPr>
          <w:p>
            <w:pPr>
              <w:spacing w:after="0"/>
            </w:pPr>
            <w:r/>
            <w:r>
              <w:rPr>
                <w:b w:val="0"/>
                <w:i w:val="0"/>
                <w:sz w:val="14"/>
              </w:rPr>
              <w:t>Other regulatory add-ons</w:t>
            </w:r>
          </w:p>
        </w:tc>
        <w:tc>
          <w:tcPr>
            <w:tcW w:type="dxa" w:w="2664"/>
            <w:vAlign w:val="center"/>
          </w:tcPr>
          <w:p>
            <w:pPr>
              <w:spacing w:after="0"/>
            </w:pPr>
            <w:r/>
            <w:r>
              <w:rPr>
                <w:b/>
                <w:i w:val="0"/>
                <w:color w:val="000000"/>
                <w:sz w:val="14"/>
                <w:highlight w:val="yellow"/>
              </w:rPr>
              <w:t xml:space="preserve">Per approved investment operations policy and valuation records.</w:t>
            </w:r>
          </w:p>
        </w:tc>
        <w:tc>
          <w:tcPr>
            <w:tcW w:type="dxa" w:w="2664"/>
            <w:vAlign w:val="center"/>
          </w:tcPr>
          <w:p>
            <w:pPr>
              <w:spacing w:after="0"/>
            </w:pPr>
            <w:r/>
            <w:r>
              <w:rPr>
                <w:b/>
                <w:i w:val="0"/>
                <w:color w:val="000000"/>
                <w:sz w:val="14"/>
                <w:highlight w:val="yellow"/>
              </w:rPr>
              <w:t xml:space="preserve">—</w:t>
            </w:r>
          </w:p>
        </w:tc>
        <w:tc>
          <w:tcPr>
            <w:tcW w:type="dxa" w:w="2664"/>
            <w:vAlign w:val="center"/>
          </w:tcPr>
          <w:p>
            <w:pPr>
              <w:spacing w:after="0"/>
            </w:pPr>
            <w:r/>
            <w:r>
              <w:rPr>
                <w:b/>
                <w:i w:val="0"/>
                <w:color w:val="000000"/>
                <w:sz w:val="14"/>
                <w:highlight w:val="yellow"/>
              </w:rPr>
              <w:t xml:space="preserve">cmrfh75ti009fktfqnqp8c3at</w:t>
            </w:r>
          </w:p>
        </w:tc>
      </w:tr>
      <w:tr>
        <w:tc>
          <w:tcPr>
            <w:tcW w:type="dxa" w:w="2664"/>
            <w:shd w:fill="F8FBFE"/>
            <w:vAlign w:val="center"/>
          </w:tcPr>
          <w:p>
            <w:pPr>
              <w:spacing w:after="0"/>
            </w:pPr>
            <w:r/>
            <w:r>
              <w:rPr>
                <w:b w:val="0"/>
                <w:i w:val="0"/>
                <w:sz w:val="14"/>
              </w:rPr>
              <w:t>Total Capital Requirement</w:t>
            </w:r>
          </w:p>
        </w:tc>
        <w:tc>
          <w:tcPr>
            <w:tcW w:type="dxa" w:w="2664"/>
            <w:shd w:fill="F8FBFE"/>
            <w:vAlign w:val="center"/>
          </w:tcPr>
          <w:p>
            <w:pPr>
              <w:spacing w:after="0"/>
            </w:pPr>
            <w:r/>
            <w:r>
              <w:rPr>
                <w:b w:val="0"/>
                <w:i w:val="0"/>
                <w:sz w:val="14"/>
              </w:rPr>
              <w:t>Sum of applicable components</w:t>
            </w:r>
          </w:p>
        </w:tc>
        <w:tc>
          <w:tcPr>
            <w:tcW w:type="dxa" w:w="2664"/>
            <w:shd w:fill="F8FBFE"/>
            <w:vAlign w:val="center"/>
          </w:tcPr>
          <w:p>
            <w:pPr>
              <w:spacing w:after="0"/>
            </w:pPr>
            <w:r/>
            <w:r>
              <w:rPr>
                <w:b/>
                <w:i w:val="0"/>
                <w:color w:val="000000"/>
                <w:sz w:val="14"/>
                <w:highlight w:val="yellow"/>
              </w:rPr>
              <w:t xml:space="preserve">—</w:t>
            </w:r>
          </w:p>
        </w:tc>
        <w:tc>
          <w:tcPr>
            <w:tcW w:type="dxa" w:w="2664"/>
            <w:shd w:fill="F8FBFE"/>
            <w:vAlign w:val="center"/>
          </w:tcPr>
          <w:p>
            <w:pPr>
              <w:spacing w:after="0"/>
            </w:pPr>
            <w:r/>
            <w:r>
              <w:rPr>
                <w:b/>
                <w:i w:val="0"/>
                <w:color w:val="000000"/>
                <w:sz w:val="14"/>
                <w:highlight w:val="yellow"/>
              </w:rPr>
              <w:t xml:space="preserve">cmrfh75ti009fktfqnqp8c3at</w:t>
            </w:r>
          </w:p>
        </w:tc>
      </w:tr>
    </w:tbl>
    <w:p>
      <w:pPr>
        <w:spacing w:after="80" w:line="240" w:lineRule="auto"/>
      </w:pPr>
    </w:p>
    <w:p>
      <w:pPr>
        <w:spacing w:before="200" w:after="120" w:line="240" w:lineRule="auto"/>
        <w:pBdr>
          <w:bottom w:val="single" w:sz="8" w:space="4" w:color="1E88E5"/>
        </w:pBdr>
      </w:pPr>
      <w:r>
        <w:rPr>
          <w:b/>
          <w:color w:val="071827"/>
          <w:sz w:val="28"/>
        </w:rPr>
        <w:t>6. Capital Adequacy Ratio, Buffer and Sensitivity</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Item</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Formula / Basis</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Result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Comment</w:t>
            </w:r>
          </w:p>
        </w:tc>
      </w:tr>
      <w:tr>
        <w:tc>
          <w:tcPr>
            <w:tcW w:type="dxa" w:w="2664"/>
            <w:shd w:fill="F8FBFE"/>
            <w:vAlign w:val="center"/>
          </w:tcPr>
          <w:p>
            <w:pPr>
              <w:spacing w:after="0"/>
            </w:pPr>
            <w:r/>
            <w:r>
              <w:rPr>
                <w:b w:val="0"/>
                <w:i w:val="0"/>
                <w:sz w:val="15"/>
              </w:rPr>
              <w:t>Capital Adequacy Ratio</w:t>
            </w:r>
          </w:p>
        </w:tc>
        <w:tc>
          <w:tcPr>
            <w:tcW w:type="dxa" w:w="2664"/>
            <w:shd w:fill="F8FBFE"/>
            <w:vAlign w:val="center"/>
          </w:tcPr>
          <w:p>
            <w:pPr>
              <w:spacing w:after="0"/>
            </w:pPr>
            <w:r/>
            <w:r>
              <w:rPr>
                <w:b/>
                <w:i w:val="0"/>
                <w:color w:val="000000"/>
                <w:sz w:val="15"/>
                <w:highlight w:val="yellow"/>
              </w:rPr>
              <w:t xml:space="preserve">—</w:t>
            </w:r>
            <w:r>
              <w:rPr>
                <w:b w:val="0"/>
                <w:i w:val="0"/>
                <w:sz w:val="15"/>
              </w:rPr>
              <w:t xml:space="preserve"> / </w:t>
            </w:r>
            <w:r>
              <w:rPr>
                <w:b/>
                <w:i w:val="0"/>
                <w:color w:val="000000"/>
                <w:sz w:val="15"/>
                <w:highlight w:val="yellow"/>
              </w:rPr>
              <w:t xml:space="preserve">—</w:t>
            </w:r>
          </w:p>
        </w:tc>
        <w:tc>
          <w:tcPr>
            <w:tcW w:type="dxa" w:w="2664"/>
            <w:shd w:fill="F8FBFE"/>
            <w:vAlign w:val="center"/>
          </w:tcPr>
          <w:p>
            <w:pPr>
              <w:spacing w:after="0"/>
            </w:pPr>
            <w:r/>
            <w:r>
              <w:rPr>
                <w:b/>
                <w:i w:val="0"/>
                <w:color w:val="000000"/>
                <w:sz w:val="15"/>
                <w:highlight w:val="yellow"/>
              </w:rPr>
              <w:t xml:space="preserve">—</w:t>
            </w:r>
            <w:r>
              <w:rPr>
                <w:b w:val="0"/>
                <w:i w:val="0"/>
                <w:sz w:val="15"/>
              </w:rPr>
              <w:t>%</w:t>
            </w:r>
          </w:p>
        </w:tc>
        <w:tc>
          <w:tcPr>
            <w:tcW w:type="dxa" w:w="2664"/>
            <w:shd w:fill="F8FBFE"/>
            <w:vAlign w:val="center"/>
          </w:tcPr>
          <w:p>
            <w:pPr>
              <w:spacing w:after="0"/>
            </w:pPr>
            <w:r/>
            <w:r>
              <w:rPr>
                <w:b/>
                <w:i w:val="0"/>
                <w:color w:val="000000"/>
                <w:sz w:val="15"/>
                <w:highlight w:val="yellow"/>
              </w:rPr>
              <w:t xml:space="preserve">Per approved investment operations policy and valuation records.</w:t>
            </w:r>
          </w:p>
        </w:tc>
      </w:tr>
      <w:tr>
        <w:tc>
          <w:tcPr>
            <w:tcW w:type="dxa" w:w="2664"/>
            <w:vAlign w:val="center"/>
          </w:tcPr>
          <w:p>
            <w:pPr>
              <w:spacing w:after="0"/>
            </w:pPr>
            <w:r/>
            <w:r>
              <w:rPr>
                <w:b w:val="0"/>
                <w:i w:val="0"/>
                <w:sz w:val="15"/>
              </w:rPr>
              <w:t>Absolute Capital Buffer / Shortfall</w:t>
            </w:r>
          </w:p>
        </w:tc>
        <w:tc>
          <w:tcPr>
            <w:tcW w:type="dxa" w:w="2664"/>
            <w:vAlign w:val="center"/>
          </w:tcPr>
          <w:p>
            <w:pPr>
              <w:spacing w:after="0"/>
            </w:pPr>
            <w:r/>
            <w:r>
              <w:rPr>
                <w:b/>
                <w:i w:val="0"/>
                <w:color w:val="000000"/>
                <w:sz w:val="15"/>
                <w:highlight w:val="yellow"/>
              </w:rPr>
              <w:t xml:space="preserve">—</w:t>
            </w:r>
            <w:r>
              <w:rPr>
                <w:b w:val="0"/>
                <w:i w:val="0"/>
                <w:sz w:val="15"/>
              </w:rPr>
              <w:t xml:space="preserve"> - </w:t>
            </w:r>
            <w:r>
              <w:rPr>
                <w:b/>
                <w:i w:val="0"/>
                <w:color w:val="000000"/>
                <w:sz w:val="15"/>
                <w:highlight w:val="yellow"/>
              </w:rPr>
              <w:t xml:space="preserve">—</w:t>
            </w:r>
          </w:p>
        </w:tc>
        <w:tc>
          <w:tcPr>
            <w:tcW w:type="dxa" w:w="2664"/>
            <w:vAlign w:val="center"/>
          </w:tcPr>
          <w:p>
            <w:pPr>
              <w:spacing w:after="0"/>
            </w:pPr>
            <w:r/>
            <w:r>
              <w:rPr>
                <w:b/>
                <w:i w:val="0"/>
                <w:color w:val="000000"/>
                <w:sz w:val="15"/>
                <w:highlight w:val="yellow"/>
              </w:rPr>
              <w:t xml:space="preserve">—</w:t>
            </w:r>
          </w:p>
        </w:tc>
        <w:tc>
          <w:tcPr>
            <w:tcW w:type="dxa" w:w="2664"/>
            <w:vAlign w:val="center"/>
          </w:tcPr>
          <w:p>
            <w:pPr>
              <w:spacing w:after="0"/>
            </w:pPr>
            <w:r/>
            <w:r>
              <w:rPr>
                <w:b/>
                <w:i w:val="0"/>
                <w:color w:val="000000"/>
                <w:sz w:val="15"/>
                <w:highlight w:val="yellow"/>
              </w:rPr>
              <w:t xml:space="preserve">Per approved investment operations policy and valuation records.</w:t>
            </w:r>
          </w:p>
        </w:tc>
      </w:tr>
      <w:tr>
        <w:tc>
          <w:tcPr>
            <w:tcW w:type="dxa" w:w="2664"/>
            <w:shd w:fill="F8FBFE"/>
            <w:vAlign w:val="center"/>
          </w:tcPr>
          <w:p>
            <w:pPr>
              <w:spacing w:after="0"/>
            </w:pPr>
            <w:r/>
            <w:r>
              <w:rPr>
                <w:b w:val="0"/>
                <w:i w:val="0"/>
                <w:sz w:val="15"/>
              </w:rPr>
              <w:t>Percentage Headroom / Deficit</w:t>
            </w:r>
          </w:p>
        </w:tc>
        <w:tc>
          <w:tcPr>
            <w:tcW w:type="dxa" w:w="2664"/>
            <w:shd w:fill="F8FBFE"/>
            <w:vAlign w:val="center"/>
          </w:tcPr>
          <w:p>
            <w:pPr>
              <w:spacing w:after="0"/>
            </w:pPr>
            <w:r/>
            <w:r>
              <w:rPr>
                <w:b w:val="0"/>
                <w:i w:val="0"/>
                <w:sz w:val="15"/>
              </w:rPr>
              <w:t>Current ratio less required threshold</w:t>
            </w:r>
          </w:p>
        </w:tc>
        <w:tc>
          <w:tcPr>
            <w:tcW w:type="dxa" w:w="2664"/>
            <w:shd w:fill="F8FBFE"/>
            <w:vAlign w:val="center"/>
          </w:tcPr>
          <w:p>
            <w:pPr>
              <w:spacing w:after="0"/>
            </w:pPr>
            <w:r/>
            <w:r>
              <w:rPr>
                <w:b/>
                <w:i w:val="0"/>
                <w:color w:val="000000"/>
                <w:sz w:val="15"/>
                <w:highlight w:val="yellow"/>
              </w:rPr>
              <w:t xml:space="preserve">—</w:t>
            </w:r>
            <w:r>
              <w:rPr>
                <w:b w:val="0"/>
                <w:i w:val="0"/>
                <w:sz w:val="15"/>
              </w:rPr>
              <w:t>%</w:t>
            </w:r>
          </w:p>
        </w:tc>
        <w:tc>
          <w:tcPr>
            <w:tcW w:type="dxa" w:w="2664"/>
            <w:shd w:fill="F8FBFE"/>
            <w:vAlign w:val="center"/>
          </w:tcPr>
          <w:p>
            <w:pPr>
              <w:spacing w:after="0"/>
            </w:pPr>
            <w:r/>
            <w:r>
              <w:rPr>
                <w:b/>
                <w:i w:val="0"/>
                <w:color w:val="000000"/>
                <w:sz w:val="15"/>
                <w:highlight w:val="yellow"/>
              </w:rPr>
              <w:t xml:space="preserve">Per approved investment operations policy and valuation records.</w:t>
            </w:r>
          </w:p>
        </w:tc>
      </w:tr>
      <w:tr>
        <w:tc>
          <w:tcPr>
            <w:tcW w:type="dxa" w:w="2664"/>
            <w:vAlign w:val="center"/>
          </w:tcPr>
          <w:p>
            <w:pPr>
              <w:spacing w:after="0"/>
            </w:pPr>
            <w:r/>
            <w:r>
              <w:rPr>
                <w:b w:val="0"/>
                <w:i w:val="0"/>
                <w:sz w:val="15"/>
              </w:rPr>
              <w:t xml:space="preserve">Stress Case 1: </w:t>
            </w:r>
            <w:r>
              <w:rPr>
                <w:b/>
                <w:i w:val="0"/>
                <w:color w:val="000000"/>
                <w:sz w:val="15"/>
                <w:highlight w:val="yellow"/>
              </w:rPr>
              <w:t xml:space="preserve">Admin User</w:t>
            </w:r>
          </w:p>
        </w:tc>
        <w:tc>
          <w:tcPr>
            <w:tcW w:type="dxa" w:w="2664"/>
            <w:vAlign w:val="center"/>
          </w:tcPr>
          <w:p>
            <w:pPr>
              <w:spacing w:after="0"/>
            </w:pPr>
            <w:r/>
            <w:r>
              <w:rPr>
                <w:b/>
                <w:i w:val="0"/>
                <w:color w:val="000000"/>
                <w:sz w:val="15"/>
                <w:highlight w:val="yellow"/>
              </w:rPr>
              <w:t xml:space="preserve">—</w:t>
            </w:r>
          </w:p>
        </w:tc>
        <w:tc>
          <w:tcPr>
            <w:tcW w:type="dxa" w:w="2664"/>
            <w:vAlign w:val="center"/>
          </w:tcPr>
          <w:p>
            <w:pPr>
              <w:spacing w:after="0"/>
            </w:pPr>
            <w:r/>
            <w:r>
              <w:rPr>
                <w:b/>
                <w:i w:val="0"/>
                <w:color w:val="000000"/>
                <w:sz w:val="15"/>
                <w:highlight w:val="yellow"/>
              </w:rPr>
              <w:t xml:space="preserve">Pass</w:t>
            </w:r>
          </w:p>
        </w:tc>
        <w:tc>
          <w:tcPr>
            <w:tcW w:type="dxa" w:w="2664"/>
            <w:vAlign w:val="center"/>
          </w:tcPr>
          <w:p>
            <w:pPr>
              <w:spacing w:after="0"/>
            </w:pPr>
            <w:r/>
            <w:r>
              <w:rPr>
                <w:b/>
                <w:i w:val="0"/>
                <w:color w:val="000000"/>
                <w:sz w:val="15"/>
                <w:highlight w:val="yellow"/>
              </w:rPr>
              <w:t xml:space="preserve">Per approved investment operations policy and valuation records.</w:t>
            </w:r>
          </w:p>
        </w:tc>
      </w:tr>
      <w:tr>
        <w:tc>
          <w:tcPr>
            <w:tcW w:type="dxa" w:w="2664"/>
            <w:shd w:fill="F8FBFE"/>
            <w:vAlign w:val="center"/>
          </w:tcPr>
          <w:p>
            <w:pPr>
              <w:spacing w:after="0"/>
            </w:pPr>
            <w:r/>
            <w:r>
              <w:rPr>
                <w:b w:val="0"/>
                <w:i w:val="0"/>
                <w:sz w:val="15"/>
              </w:rPr>
              <w:t xml:space="preserve">Stress Case 2: </w:t>
            </w:r>
            <w:r>
              <w:rPr>
                <w:b/>
                <w:i w:val="0"/>
                <w:color w:val="000000"/>
                <w:sz w:val="15"/>
                <w:highlight w:val="yellow"/>
              </w:rPr>
              <w:t xml:space="preserve">Admin User</w:t>
            </w:r>
          </w:p>
        </w:tc>
        <w:tc>
          <w:tcPr>
            <w:tcW w:type="dxa" w:w="2664"/>
            <w:shd w:fill="F8FBFE"/>
            <w:vAlign w:val="center"/>
          </w:tcPr>
          <w:p>
            <w:pPr>
              <w:spacing w:after="0"/>
            </w:pPr>
            <w:r/>
            <w:r>
              <w:rPr>
                <w:b/>
                <w:i w:val="0"/>
                <w:color w:val="000000"/>
                <w:sz w:val="15"/>
                <w:highlight w:val="yellow"/>
              </w:rPr>
              <w:t xml:space="preserve">—</w:t>
            </w:r>
          </w:p>
        </w:tc>
        <w:tc>
          <w:tcPr>
            <w:tcW w:type="dxa" w:w="2664"/>
            <w:shd w:fill="F8FBFE"/>
            <w:vAlign w:val="center"/>
          </w:tcPr>
          <w:p>
            <w:pPr>
              <w:spacing w:after="0"/>
            </w:pPr>
            <w:r/>
            <w:r>
              <w:rPr>
                <w:b/>
                <w:i w:val="0"/>
                <w:color w:val="000000"/>
                <w:sz w:val="15"/>
                <w:highlight w:val="yellow"/>
              </w:rPr>
              <w:t xml:space="preserve">Pass</w:t>
            </w:r>
          </w:p>
        </w:tc>
        <w:tc>
          <w:tcPr>
            <w:tcW w:type="dxa" w:w="2664"/>
            <w:shd w:fill="F8FBFE"/>
            <w:vAlign w:val="center"/>
          </w:tcPr>
          <w:p>
            <w:pPr>
              <w:spacing w:after="0"/>
            </w:pPr>
            <w:r/>
            <w:r>
              <w:rPr>
                <w:b/>
                <w:i w:val="0"/>
                <w:color w:val="000000"/>
                <w:sz w:val="15"/>
                <w:highlight w:val="yellow"/>
              </w:rPr>
              <w:t xml:space="preserve">Per approved investment operations policy and valuation records.</w:t>
            </w:r>
          </w:p>
        </w:tc>
      </w:tr>
      <w:tr>
        <w:tc>
          <w:tcPr>
            <w:tcW w:type="dxa" w:w="2664"/>
            <w:vAlign w:val="center"/>
          </w:tcPr>
          <w:p>
            <w:pPr>
              <w:spacing w:after="0"/>
            </w:pPr>
            <w:r/>
            <w:r>
              <w:rPr>
                <w:b w:val="0"/>
                <w:i w:val="0"/>
                <w:sz w:val="15"/>
              </w:rPr>
              <w:t>Management Trigger Level</w:t>
            </w:r>
          </w:p>
        </w:tc>
        <w:tc>
          <w:tcPr>
            <w:tcW w:type="dxa" w:w="2664"/>
            <w:vAlign w:val="center"/>
          </w:tcPr>
          <w:p>
            <w:pPr>
              <w:spacing w:after="0"/>
            </w:pPr>
            <w:r/>
            <w:r>
              <w:rPr>
                <w:b/>
                <w:i w:val="0"/>
                <w:color w:val="000000"/>
                <w:sz w:val="15"/>
                <w:highlight w:val="yellow"/>
              </w:rPr>
              <w:t xml:space="preserve">Per approved investment operations policy and valuation records.</w:t>
            </w:r>
          </w:p>
        </w:tc>
        <w:tc>
          <w:tcPr>
            <w:tcW w:type="dxa" w:w="2664"/>
            <w:vAlign w:val="center"/>
          </w:tcPr>
          <w:p>
            <w:pPr>
              <w:spacing w:after="0"/>
            </w:pPr>
            <w:r/>
            <w:r>
              <w:rPr>
                <w:b/>
                <w:i w:val="0"/>
                <w:color w:val="000000"/>
                <w:sz w:val="15"/>
                <w:highlight w:val="yellow"/>
              </w:rPr>
              <w:t xml:space="preserve">Pass</w:t>
            </w:r>
          </w:p>
        </w:tc>
        <w:tc>
          <w:tcPr>
            <w:tcW w:type="dxa" w:w="2664"/>
            <w:vAlign w:val="center"/>
          </w:tcPr>
          <w:p>
            <w:pPr>
              <w:spacing w:after="0"/>
            </w:pPr>
            <w:r/>
            <w:r>
              <w:rPr>
                <w:b/>
                <w:i w:val="0"/>
                <w:color w:val="000000"/>
                <w:sz w:val="15"/>
                <w:highlight w:val="yellow"/>
              </w:rPr>
              <w:t xml:space="preserve">Per approved investment operations policy and valuation records.</w:t>
            </w:r>
          </w:p>
        </w:tc>
      </w:tr>
    </w:tbl>
    <w:p>
      <w:pPr>
        <w:spacing w:after="80" w:line="240" w:lineRule="auto"/>
      </w:pPr>
    </w:p>
    <w:p>
      <w:pPr>
        <w:spacing w:before="200" w:after="120" w:line="240" w:lineRule="auto"/>
        <w:pBdr>
          <w:bottom w:val="single" w:sz="8" w:space="4" w:color="1E88E5"/>
        </w:pBdr>
      </w:pPr>
      <w:r>
        <w:rPr>
          <w:b/>
          <w:color w:val="071827"/>
          <w:sz w:val="28"/>
        </w:rPr>
        <w:t>7. Financial Position and Profit/Loss Support</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Reconcile this section to approved management accounts and the prudential return pack. Do not type over accounting numbers in this report; correct the source ledger where differences exist.</w:t>
            </w:r>
          </w:p>
        </w:tc>
      </w:tr>
    </w:tbl>
    <w:p>
      <w:pPr>
        <w:spacing w:after="40" w:line="240" w:lineRule="auto"/>
      </w:pP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Statement Line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Current Period</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Prior Period</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Variance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Source / Comment</w:t>
            </w:r>
          </w:p>
        </w:tc>
      </w:tr>
      <w:tr>
        <w:tc>
          <w:tcPr>
            <w:tcW w:type="dxa" w:w="2131"/>
            <w:shd w:fill="F8FBFE"/>
            <w:vAlign w:val="center"/>
          </w:tcPr>
          <w:p>
            <w:pPr>
              <w:spacing w:after="0"/>
            </w:pPr>
            <w:r/>
            <w:r>
              <w:rPr>
                <w:b w:val="0"/>
                <w:i w:val="0"/>
                <w:sz w:val="14"/>
              </w:rPr>
              <w:t>Total assets</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Per approved investment operations policy and valuation records.</w:t>
            </w:r>
          </w:p>
        </w:tc>
      </w:tr>
      <w:tr>
        <w:tc>
          <w:tcPr>
            <w:tcW w:type="dxa" w:w="2131"/>
            <w:vAlign w:val="center"/>
          </w:tcPr>
          <w:p>
            <w:pPr>
              <w:spacing w:after="0"/>
            </w:pPr>
            <w:r/>
            <w:r>
              <w:rPr>
                <w:b w:val="0"/>
                <w:i w:val="0"/>
                <w:sz w:val="14"/>
              </w:rPr>
              <w:t>Total liabilities</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Per approved investment operations policy and valuation records.</w:t>
            </w:r>
          </w:p>
        </w:tc>
      </w:tr>
      <w:tr>
        <w:tc>
          <w:tcPr>
            <w:tcW w:type="dxa" w:w="2131"/>
            <w:shd w:fill="F8FBFE"/>
            <w:vAlign w:val="center"/>
          </w:tcPr>
          <w:p>
            <w:pPr>
              <w:spacing w:after="0"/>
            </w:pPr>
            <w:r/>
            <w:r>
              <w:rPr>
                <w:b w:val="0"/>
                <w:i w:val="0"/>
                <w:sz w:val="14"/>
              </w:rPr>
              <w:t>Net assets / equity</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Per approved investment operations policy and valuation records.</w:t>
            </w:r>
          </w:p>
        </w:tc>
      </w:tr>
      <w:tr>
        <w:tc>
          <w:tcPr>
            <w:tcW w:type="dxa" w:w="2131"/>
            <w:vAlign w:val="center"/>
          </w:tcPr>
          <w:p>
            <w:pPr>
              <w:spacing w:after="0"/>
            </w:pPr>
            <w:r/>
            <w:r>
              <w:rPr>
                <w:b w:val="0"/>
                <w:i w:val="0"/>
                <w:sz w:val="14"/>
              </w:rPr>
              <w:t>Revenue / management fee income</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Per approved investment operations policy and valuation records.</w:t>
            </w:r>
          </w:p>
        </w:tc>
      </w:tr>
      <w:tr>
        <w:tc>
          <w:tcPr>
            <w:tcW w:type="dxa" w:w="2131"/>
            <w:shd w:fill="F8FBFE"/>
            <w:vAlign w:val="center"/>
          </w:tcPr>
          <w:p>
            <w:pPr>
              <w:spacing w:after="0"/>
            </w:pPr>
            <w:r/>
            <w:r>
              <w:rPr>
                <w:b w:val="0"/>
                <w:i w:val="0"/>
                <w:sz w:val="14"/>
              </w:rPr>
              <w:t>Operating expenses</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Per approved investment operations policy and valuation records.</w:t>
            </w:r>
          </w:p>
        </w:tc>
      </w:tr>
      <w:tr>
        <w:tc>
          <w:tcPr>
            <w:tcW w:type="dxa" w:w="2131"/>
            <w:vAlign w:val="center"/>
          </w:tcPr>
          <w:p>
            <w:pPr>
              <w:spacing w:after="0"/>
            </w:pPr>
            <w:r/>
            <w:r>
              <w:rPr>
                <w:b w:val="0"/>
                <w:i w:val="0"/>
                <w:sz w:val="14"/>
              </w:rPr>
              <w:t>Profit / loss before tax</w:t>
            </w:r>
          </w:p>
        </w:tc>
        <w:tc>
          <w:tcPr>
            <w:tcW w:type="dxa" w:w="2131"/>
            <w:vAlign w:val="center"/>
          </w:tcPr>
          <w:p>
            <w:pPr>
              <w:spacing w:after="0"/>
            </w:pPr>
            <w:r/>
            <w:r>
              <w:rPr>
                <w:b/>
                <w:i w:val="0"/>
                <w:color w:val="000000"/>
                <w:sz w:val="14"/>
                <w:highlight w:val="yellow"/>
              </w:rPr>
              <w:t xml:space="preserve">USD 0.00</w:t>
            </w:r>
          </w:p>
        </w:tc>
        <w:tc>
          <w:tcPr>
            <w:tcW w:type="dxa" w:w="2131"/>
            <w:vAlign w:val="center"/>
          </w:tcPr>
          <w:p>
            <w:pPr>
              <w:spacing w:after="0"/>
            </w:pPr>
            <w:r/>
            <w:r>
              <w:rPr>
                <w:b/>
                <w:i w:val="0"/>
                <w:color w:val="000000"/>
                <w:sz w:val="14"/>
                <w:highlight w:val="yellow"/>
              </w:rPr>
              <w:t xml:space="preserve">USD 0.00</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Per approved investment operations policy and valuation records.</w:t>
            </w:r>
          </w:p>
        </w:tc>
      </w:tr>
      <w:tr>
        <w:tc>
          <w:tcPr>
            <w:tcW w:type="dxa" w:w="2131"/>
            <w:shd w:fill="F8FBFE"/>
            <w:vAlign w:val="center"/>
          </w:tcPr>
          <w:p>
            <w:pPr>
              <w:spacing w:after="0"/>
            </w:pPr>
            <w:r/>
            <w:r>
              <w:rPr>
                <w:b w:val="0"/>
                <w:i w:val="0"/>
                <w:sz w:val="14"/>
              </w:rPr>
              <w:t>Retained earnings / accumulated losses</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Per approved investment operations policy and valuation records.</w:t>
            </w:r>
          </w:p>
        </w:tc>
      </w:tr>
    </w:tbl>
    <w:p>
      <w:pPr>
        <w:spacing w:after="80" w:line="240" w:lineRule="auto"/>
      </w:pPr>
    </w:p>
    <w:p>
      <w:pPr>
        <w:spacing w:before="200" w:after="120" w:line="240" w:lineRule="auto"/>
        <w:pBdr>
          <w:bottom w:val="single" w:sz="8" w:space="4" w:color="1E88E5"/>
        </w:pBdr>
      </w:pPr>
      <w:r>
        <w:rPr>
          <w:b/>
          <w:color w:val="071827"/>
          <w:sz w:val="28"/>
        </w:rPr>
        <w:t>8. AUM / FUM and Client Asset Support</w:t>
      </w:r>
    </w:p>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Portfolio / Mandate Category</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Opening FUM</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Inflows</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Outflows</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Market Movement</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Closing FUM</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Reference</w:t>
            </w:r>
          </w:p>
        </w:tc>
      </w:tr>
      <w:tr>
        <w:tc>
          <w:tcPr>
            <w:tcW w:type="dxa" w:w="1522"/>
            <w:shd w:fill="F8FBFE"/>
            <w:vAlign w:val="center"/>
          </w:tcPr>
          <w:p>
            <w:pPr>
              <w:spacing w:after="0"/>
            </w:pPr>
            <w:r/>
            <w:r>
              <w:rPr>
                <w:b w:val="0"/>
                <w:i w:val="0"/>
                <w:sz w:val="13"/>
              </w:rPr>
              <w:t>Discretionary portfolios</w:t>
            </w:r>
          </w:p>
        </w:tc>
        <w:tc>
          <w:tcPr>
            <w:tcW w:type="dxa" w:w="1522"/>
            <w:shd w:fill="F8FBFE"/>
            <w:vAlign w:val="center"/>
          </w:tcPr>
          <w:p>
            <w:pPr>
              <w:spacing w:after="0"/>
            </w:pPr>
            <w:r/>
            <w:r>
              <w:rPr>
                <w:b/>
                <w:i w:val="0"/>
                <w:color w:val="000000"/>
                <w:sz w:val="13"/>
                <w:highlight w:val="yellow"/>
              </w:rPr>
              <w:t xml:space="preserve">USD 0.00</w:t>
            </w:r>
          </w:p>
        </w:tc>
        <w:tc>
          <w:tcPr>
            <w:tcW w:type="dxa" w:w="1522"/>
            <w:shd w:fill="F8FBFE"/>
            <w:vAlign w:val="center"/>
          </w:tcPr>
          <w:p>
            <w:pPr>
              <w:spacing w:after="0"/>
            </w:pPr>
            <w:r/>
            <w:r>
              <w:rPr>
                <w:b/>
                <w:i w:val="0"/>
                <w:color w:val="000000"/>
                <w:sz w:val="13"/>
                <w:highlight w:val="yellow"/>
              </w:rPr>
              <w:t xml:space="preserve">—</w:t>
            </w:r>
          </w:p>
        </w:tc>
        <w:tc>
          <w:tcPr>
            <w:tcW w:type="dxa" w:w="1522"/>
            <w:shd w:fill="F8FBFE"/>
            <w:vAlign w:val="center"/>
          </w:tcPr>
          <w:p>
            <w:pPr>
              <w:spacing w:after="0"/>
            </w:pPr>
            <w:r/>
            <w:r>
              <w:rPr>
                <w:b/>
                <w:i w:val="0"/>
                <w:color w:val="000000"/>
                <w:sz w:val="13"/>
                <w:highlight w:val="yellow"/>
              </w:rPr>
              <w:t xml:space="preserve">—</w:t>
            </w:r>
          </w:p>
        </w:tc>
        <w:tc>
          <w:tcPr>
            <w:tcW w:type="dxa" w:w="1522"/>
            <w:shd w:fill="F8FBFE"/>
            <w:vAlign w:val="center"/>
          </w:tcPr>
          <w:p>
            <w:pPr>
              <w:spacing w:after="0"/>
            </w:pPr>
            <w:r/>
            <w:r>
              <w:rPr>
                <w:b/>
                <w:i w:val="0"/>
                <w:color w:val="000000"/>
                <w:sz w:val="13"/>
                <w:highlight w:val="yellow"/>
              </w:rPr>
              <w:t xml:space="preserve">—</w:t>
            </w:r>
          </w:p>
        </w:tc>
        <w:tc>
          <w:tcPr>
            <w:tcW w:type="dxa" w:w="1522"/>
            <w:shd w:fill="F8FBFE"/>
            <w:vAlign w:val="center"/>
          </w:tcPr>
          <w:p>
            <w:pPr>
              <w:spacing w:after="0"/>
            </w:pPr>
            <w:r/>
            <w:r>
              <w:rPr>
                <w:b/>
                <w:i w:val="0"/>
                <w:color w:val="000000"/>
                <w:sz w:val="13"/>
                <w:highlight w:val="yellow"/>
              </w:rPr>
              <w:t xml:space="preserve">USD 0.00</w:t>
            </w:r>
          </w:p>
        </w:tc>
        <w:tc>
          <w:tcPr>
            <w:tcW w:type="dxa" w:w="1522"/>
            <w:shd w:fill="F8FBFE"/>
            <w:vAlign w:val="center"/>
          </w:tcPr>
          <w:p>
            <w:pPr>
              <w:spacing w:after="0"/>
            </w:pPr>
            <w:r/>
            <w:r>
              <w:rPr>
                <w:b/>
                <w:i w:val="0"/>
                <w:color w:val="000000"/>
                <w:sz w:val="13"/>
                <w:highlight w:val="yellow"/>
              </w:rPr>
              <w:t xml:space="preserve">USD 0.00</w:t>
            </w:r>
          </w:p>
        </w:tc>
      </w:tr>
      <w:tr>
        <w:tc>
          <w:tcPr>
            <w:tcW w:type="dxa" w:w="1522"/>
            <w:vAlign w:val="center"/>
          </w:tcPr>
          <w:p>
            <w:pPr>
              <w:spacing w:after="0"/>
            </w:pPr>
            <w:r/>
            <w:r>
              <w:rPr>
                <w:b w:val="0"/>
                <w:i w:val="0"/>
                <w:sz w:val="13"/>
              </w:rPr>
              <w:t>Advisory portfolios</w:t>
            </w:r>
          </w:p>
        </w:tc>
        <w:tc>
          <w:tcPr>
            <w:tcW w:type="dxa" w:w="1522"/>
            <w:vAlign w:val="center"/>
          </w:tcPr>
          <w:p>
            <w:pPr>
              <w:spacing w:after="0"/>
            </w:pPr>
            <w:r/>
            <w:r>
              <w:rPr>
                <w:b/>
                <w:i w:val="0"/>
                <w:color w:val="000000"/>
                <w:sz w:val="13"/>
                <w:highlight w:val="yellow"/>
              </w:rPr>
              <w:t xml:space="preserve">USD 0.00</w:t>
            </w:r>
          </w:p>
        </w:tc>
        <w:tc>
          <w:tcPr>
            <w:tcW w:type="dxa" w:w="1522"/>
            <w:vAlign w:val="center"/>
          </w:tcPr>
          <w:p>
            <w:pPr>
              <w:spacing w:after="0"/>
            </w:pPr>
            <w:r/>
            <w:r>
              <w:rPr>
                <w:b/>
                <w:i w:val="0"/>
                <w:color w:val="000000"/>
                <w:sz w:val="13"/>
                <w:highlight w:val="yellow"/>
              </w:rPr>
              <w:t xml:space="preserve">—</w:t>
            </w:r>
          </w:p>
        </w:tc>
        <w:tc>
          <w:tcPr>
            <w:tcW w:type="dxa" w:w="1522"/>
            <w:vAlign w:val="center"/>
          </w:tcPr>
          <w:p>
            <w:pPr>
              <w:spacing w:after="0"/>
            </w:pPr>
            <w:r/>
            <w:r>
              <w:rPr>
                <w:b/>
                <w:i w:val="0"/>
                <w:color w:val="000000"/>
                <w:sz w:val="13"/>
                <w:highlight w:val="yellow"/>
              </w:rPr>
              <w:t xml:space="preserve">—</w:t>
            </w:r>
          </w:p>
        </w:tc>
        <w:tc>
          <w:tcPr>
            <w:tcW w:type="dxa" w:w="1522"/>
            <w:vAlign w:val="center"/>
          </w:tcPr>
          <w:p>
            <w:pPr>
              <w:spacing w:after="0"/>
            </w:pPr>
            <w:r/>
            <w:r>
              <w:rPr>
                <w:b/>
                <w:i w:val="0"/>
                <w:color w:val="000000"/>
                <w:sz w:val="13"/>
                <w:highlight w:val="yellow"/>
              </w:rPr>
              <w:t xml:space="preserve">—</w:t>
            </w:r>
          </w:p>
        </w:tc>
        <w:tc>
          <w:tcPr>
            <w:tcW w:type="dxa" w:w="1522"/>
            <w:vAlign w:val="center"/>
          </w:tcPr>
          <w:p>
            <w:pPr>
              <w:spacing w:after="0"/>
            </w:pPr>
            <w:r/>
            <w:r>
              <w:rPr>
                <w:b/>
                <w:i w:val="0"/>
                <w:color w:val="000000"/>
                <w:sz w:val="13"/>
                <w:highlight w:val="yellow"/>
              </w:rPr>
              <w:t xml:space="preserve">USD 0.00</w:t>
            </w:r>
          </w:p>
        </w:tc>
        <w:tc>
          <w:tcPr>
            <w:tcW w:type="dxa" w:w="1522"/>
            <w:vAlign w:val="center"/>
          </w:tcPr>
          <w:p>
            <w:pPr>
              <w:spacing w:after="0"/>
            </w:pPr>
            <w:r/>
            <w:r>
              <w:rPr>
                <w:b/>
                <w:i w:val="0"/>
                <w:color w:val="000000"/>
                <w:sz w:val="13"/>
                <w:highlight w:val="yellow"/>
              </w:rPr>
              <w:t xml:space="preserve">USD 0.00</w:t>
            </w:r>
          </w:p>
        </w:tc>
      </w:tr>
      <w:tr>
        <w:tc>
          <w:tcPr>
            <w:tcW w:type="dxa" w:w="1522"/>
            <w:shd w:fill="F8FBFE"/>
            <w:vAlign w:val="center"/>
          </w:tcPr>
          <w:p>
            <w:pPr>
              <w:spacing w:after="0"/>
            </w:pPr>
            <w:r/>
            <w:r>
              <w:rPr>
                <w:b w:val="0"/>
                <w:i w:val="0"/>
                <w:sz w:val="13"/>
              </w:rPr>
              <w:t>CIS / unit trust portfolios</w:t>
            </w:r>
          </w:p>
        </w:tc>
        <w:tc>
          <w:tcPr>
            <w:tcW w:type="dxa" w:w="1522"/>
            <w:shd w:fill="F8FBFE"/>
            <w:vAlign w:val="center"/>
          </w:tcPr>
          <w:p>
            <w:pPr>
              <w:spacing w:after="0"/>
            </w:pPr>
            <w:r/>
            <w:r>
              <w:rPr>
                <w:b/>
                <w:i w:val="0"/>
                <w:color w:val="000000"/>
                <w:sz w:val="13"/>
                <w:highlight w:val="yellow"/>
              </w:rPr>
              <w:t xml:space="preserve">USD 0.00</w:t>
            </w:r>
          </w:p>
        </w:tc>
        <w:tc>
          <w:tcPr>
            <w:tcW w:type="dxa" w:w="1522"/>
            <w:shd w:fill="F8FBFE"/>
            <w:vAlign w:val="center"/>
          </w:tcPr>
          <w:p>
            <w:pPr>
              <w:spacing w:after="0"/>
            </w:pPr>
            <w:r/>
            <w:r>
              <w:rPr>
                <w:b/>
                <w:i w:val="0"/>
                <w:color w:val="000000"/>
                <w:sz w:val="13"/>
                <w:highlight w:val="yellow"/>
              </w:rPr>
              <w:t xml:space="preserve">—</w:t>
            </w:r>
          </w:p>
        </w:tc>
        <w:tc>
          <w:tcPr>
            <w:tcW w:type="dxa" w:w="1522"/>
            <w:shd w:fill="F8FBFE"/>
            <w:vAlign w:val="center"/>
          </w:tcPr>
          <w:p>
            <w:pPr>
              <w:spacing w:after="0"/>
            </w:pPr>
            <w:r/>
            <w:r>
              <w:rPr>
                <w:b/>
                <w:i w:val="0"/>
                <w:color w:val="000000"/>
                <w:sz w:val="13"/>
                <w:highlight w:val="yellow"/>
              </w:rPr>
              <w:t xml:space="preserve">—</w:t>
            </w:r>
          </w:p>
        </w:tc>
        <w:tc>
          <w:tcPr>
            <w:tcW w:type="dxa" w:w="1522"/>
            <w:shd w:fill="F8FBFE"/>
            <w:vAlign w:val="center"/>
          </w:tcPr>
          <w:p>
            <w:pPr>
              <w:spacing w:after="0"/>
            </w:pPr>
            <w:r/>
            <w:r>
              <w:rPr>
                <w:b/>
                <w:i w:val="0"/>
                <w:color w:val="000000"/>
                <w:sz w:val="13"/>
                <w:highlight w:val="yellow"/>
              </w:rPr>
              <w:t xml:space="preserve">—</w:t>
            </w:r>
          </w:p>
        </w:tc>
        <w:tc>
          <w:tcPr>
            <w:tcW w:type="dxa" w:w="1522"/>
            <w:shd w:fill="F8FBFE"/>
            <w:vAlign w:val="center"/>
          </w:tcPr>
          <w:p>
            <w:pPr>
              <w:spacing w:after="0"/>
            </w:pPr>
            <w:r/>
            <w:r>
              <w:rPr>
                <w:b/>
                <w:i w:val="0"/>
                <w:color w:val="000000"/>
                <w:sz w:val="13"/>
                <w:highlight w:val="yellow"/>
              </w:rPr>
              <w:t xml:space="preserve">USD 0.00</w:t>
            </w:r>
          </w:p>
        </w:tc>
        <w:tc>
          <w:tcPr>
            <w:tcW w:type="dxa" w:w="1522"/>
            <w:shd w:fill="F8FBFE"/>
            <w:vAlign w:val="center"/>
          </w:tcPr>
          <w:p>
            <w:pPr>
              <w:spacing w:after="0"/>
            </w:pPr>
            <w:r/>
            <w:r>
              <w:rPr>
                <w:b/>
                <w:i w:val="0"/>
                <w:color w:val="000000"/>
                <w:sz w:val="13"/>
                <w:highlight w:val="yellow"/>
              </w:rPr>
              <w:t xml:space="preserve">USD 0.00</w:t>
            </w:r>
          </w:p>
        </w:tc>
      </w:tr>
      <w:tr>
        <w:tc>
          <w:tcPr>
            <w:tcW w:type="dxa" w:w="1522"/>
            <w:vAlign w:val="center"/>
          </w:tcPr>
          <w:p>
            <w:pPr>
              <w:spacing w:after="0"/>
            </w:pPr>
            <w:r/>
            <w:r>
              <w:rPr>
                <w:b w:val="0"/>
                <w:i w:val="0"/>
                <w:sz w:val="13"/>
              </w:rPr>
              <w:t>Pension mandates</w:t>
            </w:r>
          </w:p>
        </w:tc>
        <w:tc>
          <w:tcPr>
            <w:tcW w:type="dxa" w:w="1522"/>
            <w:vAlign w:val="center"/>
          </w:tcPr>
          <w:p>
            <w:pPr>
              <w:spacing w:after="0"/>
            </w:pPr>
            <w:r/>
            <w:r>
              <w:rPr>
                <w:b/>
                <w:i w:val="0"/>
                <w:color w:val="000000"/>
                <w:sz w:val="13"/>
                <w:highlight w:val="yellow"/>
              </w:rPr>
              <w:t xml:space="preserve">USD 0.00</w:t>
            </w:r>
          </w:p>
        </w:tc>
        <w:tc>
          <w:tcPr>
            <w:tcW w:type="dxa" w:w="1522"/>
            <w:vAlign w:val="center"/>
          </w:tcPr>
          <w:p>
            <w:pPr>
              <w:spacing w:after="0"/>
            </w:pPr>
            <w:r/>
            <w:r>
              <w:rPr>
                <w:b/>
                <w:i w:val="0"/>
                <w:color w:val="000000"/>
                <w:sz w:val="13"/>
                <w:highlight w:val="yellow"/>
              </w:rPr>
              <w:t xml:space="preserve">—</w:t>
            </w:r>
          </w:p>
        </w:tc>
        <w:tc>
          <w:tcPr>
            <w:tcW w:type="dxa" w:w="1522"/>
            <w:vAlign w:val="center"/>
          </w:tcPr>
          <w:p>
            <w:pPr>
              <w:spacing w:after="0"/>
            </w:pPr>
            <w:r/>
            <w:r>
              <w:rPr>
                <w:b/>
                <w:i w:val="0"/>
                <w:color w:val="000000"/>
                <w:sz w:val="13"/>
                <w:highlight w:val="yellow"/>
              </w:rPr>
              <w:t xml:space="preserve">—</w:t>
            </w:r>
          </w:p>
        </w:tc>
        <w:tc>
          <w:tcPr>
            <w:tcW w:type="dxa" w:w="1522"/>
            <w:vAlign w:val="center"/>
          </w:tcPr>
          <w:p>
            <w:pPr>
              <w:spacing w:after="0"/>
            </w:pPr>
            <w:r/>
            <w:r>
              <w:rPr>
                <w:b/>
                <w:i w:val="0"/>
                <w:color w:val="000000"/>
                <w:sz w:val="13"/>
                <w:highlight w:val="yellow"/>
              </w:rPr>
              <w:t xml:space="preserve">—</w:t>
            </w:r>
          </w:p>
        </w:tc>
        <w:tc>
          <w:tcPr>
            <w:tcW w:type="dxa" w:w="1522"/>
            <w:vAlign w:val="center"/>
          </w:tcPr>
          <w:p>
            <w:pPr>
              <w:spacing w:after="0"/>
            </w:pPr>
            <w:r/>
            <w:r>
              <w:rPr>
                <w:b/>
                <w:i w:val="0"/>
                <w:color w:val="000000"/>
                <w:sz w:val="13"/>
                <w:highlight w:val="yellow"/>
              </w:rPr>
              <w:t xml:space="preserve">USD 0.00</w:t>
            </w:r>
          </w:p>
        </w:tc>
        <w:tc>
          <w:tcPr>
            <w:tcW w:type="dxa" w:w="1522"/>
            <w:vAlign w:val="center"/>
          </w:tcPr>
          <w:p>
            <w:pPr>
              <w:spacing w:after="0"/>
            </w:pPr>
            <w:r/>
            <w:r>
              <w:rPr>
                <w:b/>
                <w:i w:val="0"/>
                <w:color w:val="000000"/>
                <w:sz w:val="13"/>
                <w:highlight w:val="yellow"/>
              </w:rPr>
              <w:t xml:space="preserve">USD 0.00</w:t>
            </w:r>
          </w:p>
        </w:tc>
      </w:tr>
      <w:tr>
        <w:tc>
          <w:tcPr>
            <w:tcW w:type="dxa" w:w="1522"/>
            <w:shd w:fill="F8FBFE"/>
            <w:vAlign w:val="center"/>
          </w:tcPr>
          <w:p>
            <w:pPr>
              <w:spacing w:after="0"/>
            </w:pPr>
            <w:r/>
            <w:r>
              <w:rPr>
                <w:b w:val="0"/>
                <w:i w:val="0"/>
                <w:sz w:val="13"/>
              </w:rPr>
              <w:t>Other mandates</w:t>
            </w:r>
          </w:p>
        </w:tc>
        <w:tc>
          <w:tcPr>
            <w:tcW w:type="dxa" w:w="1522"/>
            <w:shd w:fill="F8FBFE"/>
            <w:vAlign w:val="center"/>
          </w:tcPr>
          <w:p>
            <w:pPr>
              <w:spacing w:after="0"/>
            </w:pPr>
            <w:r/>
            <w:r>
              <w:rPr>
                <w:b/>
                <w:i w:val="0"/>
                <w:color w:val="000000"/>
                <w:sz w:val="13"/>
                <w:highlight w:val="yellow"/>
              </w:rPr>
              <w:t xml:space="preserve">USD 0.00</w:t>
            </w:r>
          </w:p>
        </w:tc>
        <w:tc>
          <w:tcPr>
            <w:tcW w:type="dxa" w:w="1522"/>
            <w:shd w:fill="F8FBFE"/>
            <w:vAlign w:val="center"/>
          </w:tcPr>
          <w:p>
            <w:pPr>
              <w:spacing w:after="0"/>
            </w:pPr>
            <w:r/>
            <w:r>
              <w:rPr>
                <w:b/>
                <w:i w:val="0"/>
                <w:color w:val="000000"/>
                <w:sz w:val="13"/>
                <w:highlight w:val="yellow"/>
              </w:rPr>
              <w:t xml:space="preserve">—</w:t>
            </w:r>
          </w:p>
        </w:tc>
        <w:tc>
          <w:tcPr>
            <w:tcW w:type="dxa" w:w="1522"/>
            <w:shd w:fill="F8FBFE"/>
            <w:vAlign w:val="center"/>
          </w:tcPr>
          <w:p>
            <w:pPr>
              <w:spacing w:after="0"/>
            </w:pPr>
            <w:r/>
            <w:r>
              <w:rPr>
                <w:b/>
                <w:i w:val="0"/>
                <w:color w:val="000000"/>
                <w:sz w:val="13"/>
                <w:highlight w:val="yellow"/>
              </w:rPr>
              <w:t xml:space="preserve">—</w:t>
            </w:r>
          </w:p>
        </w:tc>
        <w:tc>
          <w:tcPr>
            <w:tcW w:type="dxa" w:w="1522"/>
            <w:shd w:fill="F8FBFE"/>
            <w:vAlign w:val="center"/>
          </w:tcPr>
          <w:p>
            <w:pPr>
              <w:spacing w:after="0"/>
            </w:pPr>
            <w:r/>
            <w:r>
              <w:rPr>
                <w:b/>
                <w:i w:val="0"/>
                <w:color w:val="000000"/>
                <w:sz w:val="13"/>
                <w:highlight w:val="yellow"/>
              </w:rPr>
              <w:t xml:space="preserve">—</w:t>
            </w:r>
          </w:p>
        </w:tc>
        <w:tc>
          <w:tcPr>
            <w:tcW w:type="dxa" w:w="1522"/>
            <w:shd w:fill="F8FBFE"/>
            <w:vAlign w:val="center"/>
          </w:tcPr>
          <w:p>
            <w:pPr>
              <w:spacing w:after="0"/>
            </w:pPr>
            <w:r/>
            <w:r>
              <w:rPr>
                <w:b/>
                <w:i w:val="0"/>
                <w:color w:val="000000"/>
                <w:sz w:val="13"/>
                <w:highlight w:val="yellow"/>
              </w:rPr>
              <w:t xml:space="preserve">USD 0.00</w:t>
            </w:r>
          </w:p>
        </w:tc>
        <w:tc>
          <w:tcPr>
            <w:tcW w:type="dxa" w:w="1522"/>
            <w:shd w:fill="F8FBFE"/>
            <w:vAlign w:val="center"/>
          </w:tcPr>
          <w:p>
            <w:pPr>
              <w:spacing w:after="0"/>
            </w:pPr>
            <w:r/>
            <w:r>
              <w:rPr>
                <w:b/>
                <w:i w:val="0"/>
                <w:color w:val="000000"/>
                <w:sz w:val="13"/>
                <w:highlight w:val="yellow"/>
              </w:rPr>
              <w:t xml:space="preserve">USD 0.00</w:t>
            </w:r>
          </w:p>
        </w:tc>
      </w:tr>
      <w:tr>
        <w:tc>
          <w:tcPr>
            <w:tcW w:type="dxa" w:w="1522"/>
            <w:vAlign w:val="center"/>
          </w:tcPr>
          <w:p>
            <w:pPr>
              <w:spacing w:after="0"/>
            </w:pPr>
            <w:r/>
            <w:r>
              <w:rPr>
                <w:b w:val="0"/>
                <w:i w:val="0"/>
                <w:sz w:val="13"/>
              </w:rPr>
              <w:t>Total</w:t>
            </w:r>
          </w:p>
        </w:tc>
        <w:tc>
          <w:tcPr>
            <w:tcW w:type="dxa" w:w="1522"/>
            <w:vAlign w:val="center"/>
          </w:tcPr>
          <w:p>
            <w:pPr>
              <w:spacing w:after="0"/>
            </w:pPr>
            <w:r/>
            <w:r>
              <w:rPr>
                <w:b/>
                <w:i w:val="0"/>
                <w:color w:val="000000"/>
                <w:sz w:val="13"/>
                <w:highlight w:val="yellow"/>
              </w:rPr>
              <w:t xml:space="preserve">USD 0.00</w:t>
            </w:r>
          </w:p>
        </w:tc>
        <w:tc>
          <w:tcPr>
            <w:tcW w:type="dxa" w:w="1522"/>
            <w:vAlign w:val="center"/>
          </w:tcPr>
          <w:p>
            <w:pPr>
              <w:spacing w:after="0"/>
            </w:pPr>
            <w:r/>
            <w:r>
              <w:rPr>
                <w:b/>
                <w:i w:val="0"/>
                <w:color w:val="000000"/>
                <w:sz w:val="13"/>
                <w:highlight w:val="yellow"/>
              </w:rPr>
              <w:t xml:space="preserve">—</w:t>
            </w:r>
          </w:p>
        </w:tc>
        <w:tc>
          <w:tcPr>
            <w:tcW w:type="dxa" w:w="1522"/>
            <w:vAlign w:val="center"/>
          </w:tcPr>
          <w:p>
            <w:pPr>
              <w:spacing w:after="0"/>
            </w:pPr>
            <w:r/>
            <w:r>
              <w:rPr>
                <w:b/>
                <w:i w:val="0"/>
                <w:color w:val="000000"/>
                <w:sz w:val="13"/>
                <w:highlight w:val="yellow"/>
              </w:rPr>
              <w:t xml:space="preserve">—</w:t>
            </w:r>
          </w:p>
        </w:tc>
        <w:tc>
          <w:tcPr>
            <w:tcW w:type="dxa" w:w="1522"/>
            <w:vAlign w:val="center"/>
          </w:tcPr>
          <w:p>
            <w:pPr>
              <w:spacing w:after="0"/>
            </w:pPr>
            <w:r/>
            <w:r>
              <w:rPr>
                <w:b/>
                <w:i w:val="0"/>
                <w:color w:val="000000"/>
                <w:sz w:val="13"/>
                <w:highlight w:val="yellow"/>
              </w:rPr>
              <w:t xml:space="preserve">—</w:t>
            </w:r>
          </w:p>
        </w:tc>
        <w:tc>
          <w:tcPr>
            <w:tcW w:type="dxa" w:w="1522"/>
            <w:vAlign w:val="center"/>
          </w:tcPr>
          <w:p>
            <w:pPr>
              <w:spacing w:after="0"/>
            </w:pPr>
            <w:r/>
            <w:r>
              <w:rPr>
                <w:b/>
                <w:i w:val="0"/>
                <w:color w:val="000000"/>
                <w:sz w:val="13"/>
                <w:highlight w:val="yellow"/>
              </w:rPr>
              <w:t xml:space="preserve">USD 0.00</w:t>
            </w:r>
          </w:p>
        </w:tc>
        <w:tc>
          <w:tcPr>
            <w:tcW w:type="dxa" w:w="1522"/>
            <w:vAlign w:val="center"/>
          </w:tcPr>
          <w:p>
            <w:pPr>
              <w:spacing w:after="0"/>
            </w:pPr>
            <w:r/>
            <w:r>
              <w:rPr>
                <w:b/>
                <w:i w:val="0"/>
                <w:color w:val="000000"/>
                <w:sz w:val="13"/>
                <w:highlight w:val="yellow"/>
              </w:rPr>
              <w:t xml:space="preserve">USD 0.00</w:t>
            </w:r>
          </w:p>
        </w:tc>
      </w:tr>
    </w:tbl>
    <w:p>
      <w:pPr>
        <w:spacing w:after="80" w:line="240" w:lineRule="auto"/>
      </w:pPr>
    </w:p>
    <w:p>
      <w:pPr>
        <w:spacing w:before="200" w:after="120" w:line="240" w:lineRule="auto"/>
        <w:pBdr>
          <w:bottom w:val="single" w:sz="8" w:space="4" w:color="1E88E5"/>
        </w:pBdr>
      </w:pPr>
      <w:r>
        <w:rPr>
          <w:b/>
          <w:color w:val="071827"/>
          <w:sz w:val="28"/>
        </w:rPr>
        <w:t>9. Liquidity, Receivables and Payables Analysis</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Liquidity / Ageing Category</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Amount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Eligible for ALC?</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Treatment / Comment</w:t>
            </w:r>
          </w:p>
        </w:tc>
      </w:tr>
      <w:tr>
        <w:tc>
          <w:tcPr>
            <w:tcW w:type="dxa" w:w="2664"/>
            <w:shd w:fill="F8FBFE"/>
            <w:vAlign w:val="center"/>
          </w:tcPr>
          <w:p>
            <w:pPr>
              <w:spacing w:after="0"/>
            </w:pPr>
            <w:r/>
            <w:r>
              <w:rPr>
                <w:b w:val="0"/>
                <w:i w:val="0"/>
                <w:sz w:val="14"/>
              </w:rPr>
              <w:t>Cash immediately available</w:t>
            </w:r>
          </w:p>
        </w:tc>
        <w:tc>
          <w:tcPr>
            <w:tcW w:type="dxa" w:w="2664"/>
            <w:shd w:fill="F8FBFE"/>
            <w:vAlign w:val="center"/>
          </w:tcPr>
          <w:p>
            <w:pPr>
              <w:spacing w:after="0"/>
            </w:pPr>
            <w:r/>
            <w:r>
              <w:rPr>
                <w:b/>
                <w:i w:val="0"/>
                <w:color w:val="000000"/>
                <w:sz w:val="14"/>
                <w:highlight w:val="yellow"/>
              </w:rPr>
              <w:t xml:space="preserve">—</w:t>
            </w:r>
          </w:p>
        </w:tc>
        <w:tc>
          <w:tcPr>
            <w:tcW w:type="dxa" w:w="2664"/>
            <w:shd w:fill="F8FBFE"/>
            <w:vAlign w:val="center"/>
          </w:tcPr>
          <w:p>
            <w:pPr>
              <w:spacing w:after="0"/>
            </w:pPr>
            <w:r/>
            <w:r>
              <w:rPr>
                <w:b/>
                <w:i w:val="0"/>
                <w:color w:val="000000"/>
                <w:sz w:val="14"/>
                <w:highlight w:val="yellow"/>
              </w:rPr>
              <w:t xml:space="preserve">No</w:t>
            </w:r>
          </w:p>
        </w:tc>
        <w:tc>
          <w:tcPr>
            <w:tcW w:type="dxa" w:w="2664"/>
            <w:shd w:fill="F8FBFE"/>
            <w:vAlign w:val="center"/>
          </w:tcPr>
          <w:p>
            <w:pPr>
              <w:spacing w:after="0"/>
            </w:pPr>
            <w:r/>
            <w:r>
              <w:rPr>
                <w:b/>
                <w:i w:val="0"/>
                <w:color w:val="000000"/>
                <w:sz w:val="14"/>
                <w:highlight w:val="yellow"/>
              </w:rPr>
              <w:t xml:space="preserve">Per approved investment operations policy and valuation records.</w:t>
            </w:r>
          </w:p>
        </w:tc>
      </w:tr>
      <w:tr>
        <w:tc>
          <w:tcPr>
            <w:tcW w:type="dxa" w:w="2664"/>
            <w:vAlign w:val="center"/>
          </w:tcPr>
          <w:p>
            <w:pPr>
              <w:spacing w:after="0"/>
            </w:pPr>
            <w:r/>
            <w:r>
              <w:rPr>
                <w:b w:val="0"/>
                <w:i w:val="0"/>
                <w:sz w:val="14"/>
              </w:rPr>
              <w:t>Cash subject to restriction</w:t>
            </w:r>
          </w:p>
        </w:tc>
        <w:tc>
          <w:tcPr>
            <w:tcW w:type="dxa" w:w="2664"/>
            <w:vAlign w:val="center"/>
          </w:tcPr>
          <w:p>
            <w:pPr>
              <w:spacing w:after="0"/>
            </w:pPr>
            <w:r/>
            <w:r>
              <w:rPr>
                <w:b/>
                <w:i w:val="0"/>
                <w:color w:val="000000"/>
                <w:sz w:val="14"/>
                <w:highlight w:val="yellow"/>
              </w:rPr>
              <w:t xml:space="preserve">—</w:t>
            </w:r>
          </w:p>
        </w:tc>
        <w:tc>
          <w:tcPr>
            <w:tcW w:type="dxa" w:w="2664"/>
            <w:vAlign w:val="center"/>
          </w:tcPr>
          <w:p>
            <w:pPr>
              <w:spacing w:after="0"/>
            </w:pPr>
            <w:r/>
            <w:r>
              <w:rPr>
                <w:b w:val="0"/>
                <w:i w:val="0"/>
                <w:sz w:val="14"/>
              </w:rPr>
              <w:t xml:space="preserve">No / </w:t>
            </w:r>
            <w:r>
              <w:rPr>
                <w:b/>
                <w:i w:val="0"/>
                <w:color w:val="000000"/>
                <w:sz w:val="14"/>
                <w:highlight w:val="yellow"/>
              </w:rPr>
              <w:t xml:space="preserve">Per approved investment operations policy and valuation records.</w:t>
            </w:r>
          </w:p>
        </w:tc>
        <w:tc>
          <w:tcPr>
            <w:tcW w:type="dxa" w:w="2664"/>
            <w:vAlign w:val="center"/>
          </w:tcPr>
          <w:p>
            <w:pPr>
              <w:spacing w:after="0"/>
            </w:pPr>
            <w:r/>
            <w:r>
              <w:rPr>
                <w:b/>
                <w:i w:val="0"/>
                <w:color w:val="000000"/>
                <w:sz w:val="14"/>
                <w:highlight w:val="yellow"/>
              </w:rPr>
              <w:t xml:space="preserve">Per approved investment operations policy and valuation records.</w:t>
            </w:r>
          </w:p>
        </w:tc>
      </w:tr>
      <w:tr>
        <w:tc>
          <w:tcPr>
            <w:tcW w:type="dxa" w:w="2664"/>
            <w:shd w:fill="F8FBFE"/>
            <w:vAlign w:val="center"/>
          </w:tcPr>
          <w:p>
            <w:pPr>
              <w:spacing w:after="0"/>
            </w:pPr>
            <w:r/>
            <w:r>
              <w:rPr>
                <w:b w:val="0"/>
                <w:i w:val="0"/>
                <w:sz w:val="14"/>
              </w:rPr>
              <w:t>Receivables: current</w:t>
            </w:r>
          </w:p>
        </w:tc>
        <w:tc>
          <w:tcPr>
            <w:tcW w:type="dxa" w:w="2664"/>
            <w:shd w:fill="F8FBFE"/>
            <w:vAlign w:val="center"/>
          </w:tcPr>
          <w:p>
            <w:pPr>
              <w:spacing w:after="0"/>
            </w:pPr>
            <w:r/>
            <w:r>
              <w:rPr>
                <w:b/>
                <w:i w:val="0"/>
                <w:color w:val="000000"/>
                <w:sz w:val="14"/>
                <w:highlight w:val="yellow"/>
              </w:rPr>
              <w:t xml:space="preserve">—</w:t>
            </w:r>
          </w:p>
        </w:tc>
        <w:tc>
          <w:tcPr>
            <w:tcW w:type="dxa" w:w="2664"/>
            <w:shd w:fill="F8FBFE"/>
            <w:vAlign w:val="center"/>
          </w:tcPr>
          <w:p>
            <w:pPr>
              <w:spacing w:after="0"/>
            </w:pPr>
            <w:r/>
            <w:r>
              <w:rPr>
                <w:b/>
                <w:i w:val="0"/>
                <w:color w:val="000000"/>
                <w:sz w:val="14"/>
                <w:highlight w:val="yellow"/>
              </w:rPr>
              <w:t xml:space="preserve">No</w:t>
            </w:r>
          </w:p>
        </w:tc>
        <w:tc>
          <w:tcPr>
            <w:tcW w:type="dxa" w:w="2664"/>
            <w:shd w:fill="F8FBFE"/>
            <w:vAlign w:val="center"/>
          </w:tcPr>
          <w:p>
            <w:pPr>
              <w:spacing w:after="0"/>
            </w:pPr>
            <w:r/>
            <w:r>
              <w:rPr>
                <w:b/>
                <w:i w:val="0"/>
                <w:color w:val="000000"/>
                <w:sz w:val="14"/>
                <w:highlight w:val="yellow"/>
              </w:rPr>
              <w:t xml:space="preserve">Per approved investment operations policy and valuation records.</w:t>
            </w:r>
          </w:p>
        </w:tc>
      </w:tr>
      <w:tr>
        <w:tc>
          <w:tcPr>
            <w:tcW w:type="dxa" w:w="2664"/>
            <w:vAlign w:val="center"/>
          </w:tcPr>
          <w:p>
            <w:pPr>
              <w:spacing w:after="0"/>
            </w:pPr>
            <w:r/>
            <w:r>
              <w:rPr>
                <w:b w:val="0"/>
                <w:i w:val="0"/>
                <w:sz w:val="14"/>
              </w:rPr>
              <w:t>Receivables: 31-60 days</w:t>
            </w:r>
          </w:p>
        </w:tc>
        <w:tc>
          <w:tcPr>
            <w:tcW w:type="dxa" w:w="2664"/>
            <w:vAlign w:val="center"/>
          </w:tcPr>
          <w:p>
            <w:pPr>
              <w:spacing w:after="0"/>
            </w:pPr>
            <w:r/>
            <w:r>
              <w:rPr>
                <w:b/>
                <w:i w:val="0"/>
                <w:color w:val="000000"/>
                <w:sz w:val="14"/>
                <w:highlight w:val="yellow"/>
              </w:rPr>
              <w:t xml:space="preserve">—</w:t>
            </w:r>
          </w:p>
        </w:tc>
        <w:tc>
          <w:tcPr>
            <w:tcW w:type="dxa" w:w="2664"/>
            <w:vAlign w:val="center"/>
          </w:tcPr>
          <w:p>
            <w:pPr>
              <w:spacing w:after="0"/>
            </w:pPr>
            <w:r/>
            <w:r>
              <w:rPr>
                <w:b/>
                <w:i w:val="0"/>
                <w:color w:val="000000"/>
                <w:sz w:val="14"/>
                <w:highlight w:val="yellow"/>
              </w:rPr>
              <w:t xml:space="preserve">No</w:t>
            </w:r>
          </w:p>
        </w:tc>
        <w:tc>
          <w:tcPr>
            <w:tcW w:type="dxa" w:w="2664"/>
            <w:vAlign w:val="center"/>
          </w:tcPr>
          <w:p>
            <w:pPr>
              <w:spacing w:after="0"/>
            </w:pPr>
            <w:r/>
            <w:r>
              <w:rPr>
                <w:b/>
                <w:i w:val="0"/>
                <w:color w:val="000000"/>
                <w:sz w:val="14"/>
                <w:highlight w:val="yellow"/>
              </w:rPr>
              <w:t xml:space="preserve">Per approved investment operations policy and valuation records.</w:t>
            </w:r>
          </w:p>
        </w:tc>
      </w:tr>
      <w:tr>
        <w:tc>
          <w:tcPr>
            <w:tcW w:type="dxa" w:w="2664"/>
            <w:shd w:fill="F8FBFE"/>
            <w:vAlign w:val="center"/>
          </w:tcPr>
          <w:p>
            <w:pPr>
              <w:spacing w:after="0"/>
            </w:pPr>
            <w:r/>
            <w:r>
              <w:rPr>
                <w:b w:val="0"/>
                <w:i w:val="0"/>
                <w:sz w:val="14"/>
              </w:rPr>
              <w:t>Receivables: 61-90 days</w:t>
            </w:r>
          </w:p>
        </w:tc>
        <w:tc>
          <w:tcPr>
            <w:tcW w:type="dxa" w:w="2664"/>
            <w:shd w:fill="F8FBFE"/>
            <w:vAlign w:val="center"/>
          </w:tcPr>
          <w:p>
            <w:pPr>
              <w:spacing w:after="0"/>
            </w:pPr>
            <w:r/>
            <w:r>
              <w:rPr>
                <w:b/>
                <w:i w:val="0"/>
                <w:color w:val="000000"/>
                <w:sz w:val="14"/>
                <w:highlight w:val="yellow"/>
              </w:rPr>
              <w:t xml:space="preserve">—</w:t>
            </w:r>
          </w:p>
        </w:tc>
        <w:tc>
          <w:tcPr>
            <w:tcW w:type="dxa" w:w="2664"/>
            <w:shd w:fill="F8FBFE"/>
            <w:vAlign w:val="center"/>
          </w:tcPr>
          <w:p>
            <w:pPr>
              <w:spacing w:after="0"/>
            </w:pPr>
            <w:r/>
            <w:r>
              <w:rPr>
                <w:b/>
                <w:i w:val="0"/>
                <w:color w:val="000000"/>
                <w:sz w:val="14"/>
                <w:highlight w:val="yellow"/>
              </w:rPr>
              <w:t xml:space="preserve">No</w:t>
            </w:r>
          </w:p>
        </w:tc>
        <w:tc>
          <w:tcPr>
            <w:tcW w:type="dxa" w:w="2664"/>
            <w:shd w:fill="F8FBFE"/>
            <w:vAlign w:val="center"/>
          </w:tcPr>
          <w:p>
            <w:pPr>
              <w:spacing w:after="0"/>
            </w:pPr>
            <w:r/>
            <w:r>
              <w:rPr>
                <w:b/>
                <w:i w:val="0"/>
                <w:color w:val="000000"/>
                <w:sz w:val="14"/>
                <w:highlight w:val="yellow"/>
              </w:rPr>
              <w:t xml:space="preserve">Per approved investment operations policy and valuation records.</w:t>
            </w:r>
          </w:p>
        </w:tc>
      </w:tr>
      <w:tr>
        <w:tc>
          <w:tcPr>
            <w:tcW w:type="dxa" w:w="2664"/>
            <w:vAlign w:val="center"/>
          </w:tcPr>
          <w:p>
            <w:pPr>
              <w:spacing w:after="0"/>
            </w:pPr>
            <w:r/>
            <w:r>
              <w:rPr>
                <w:b w:val="0"/>
                <w:i w:val="0"/>
                <w:sz w:val="14"/>
              </w:rPr>
              <w:t>Receivables: over 90 days</w:t>
            </w:r>
          </w:p>
        </w:tc>
        <w:tc>
          <w:tcPr>
            <w:tcW w:type="dxa" w:w="2664"/>
            <w:vAlign w:val="center"/>
          </w:tcPr>
          <w:p>
            <w:pPr>
              <w:spacing w:after="0"/>
            </w:pPr>
            <w:r/>
            <w:r>
              <w:rPr>
                <w:b/>
                <w:i w:val="0"/>
                <w:color w:val="000000"/>
                <w:sz w:val="14"/>
                <w:highlight w:val="yellow"/>
              </w:rPr>
              <w:t xml:space="preserve">—</w:t>
            </w:r>
          </w:p>
        </w:tc>
        <w:tc>
          <w:tcPr>
            <w:tcW w:type="dxa" w:w="2664"/>
            <w:vAlign w:val="center"/>
          </w:tcPr>
          <w:p>
            <w:pPr>
              <w:spacing w:after="0"/>
            </w:pPr>
            <w:r/>
            <w:r>
              <w:rPr>
                <w:b/>
                <w:i w:val="0"/>
                <w:color w:val="000000"/>
                <w:sz w:val="14"/>
                <w:highlight w:val="yellow"/>
              </w:rPr>
              <w:t xml:space="preserve">No</w:t>
            </w:r>
          </w:p>
        </w:tc>
        <w:tc>
          <w:tcPr>
            <w:tcW w:type="dxa" w:w="2664"/>
            <w:vAlign w:val="center"/>
          </w:tcPr>
          <w:p>
            <w:pPr>
              <w:spacing w:after="0"/>
            </w:pPr>
            <w:r/>
            <w:r>
              <w:rPr>
                <w:b/>
                <w:i w:val="0"/>
                <w:color w:val="000000"/>
                <w:sz w:val="14"/>
                <w:highlight w:val="yellow"/>
              </w:rPr>
              <w:t xml:space="preserve">Per approved investment operations policy and valuation records.</w:t>
            </w:r>
          </w:p>
        </w:tc>
      </w:tr>
      <w:tr>
        <w:tc>
          <w:tcPr>
            <w:tcW w:type="dxa" w:w="2664"/>
            <w:shd w:fill="F8FBFE"/>
            <w:vAlign w:val="center"/>
          </w:tcPr>
          <w:p>
            <w:pPr>
              <w:spacing w:after="0"/>
            </w:pPr>
            <w:r/>
            <w:r>
              <w:rPr>
                <w:b w:val="0"/>
                <w:i w:val="0"/>
                <w:sz w:val="14"/>
              </w:rPr>
              <w:t>Payables: current</w:t>
            </w:r>
          </w:p>
        </w:tc>
        <w:tc>
          <w:tcPr>
            <w:tcW w:type="dxa" w:w="2664"/>
            <w:shd w:fill="F8FBFE"/>
            <w:vAlign w:val="center"/>
          </w:tcPr>
          <w:p>
            <w:pPr>
              <w:spacing w:after="0"/>
            </w:pPr>
            <w:r/>
            <w:r>
              <w:rPr>
                <w:b/>
                <w:i w:val="0"/>
                <w:color w:val="000000"/>
                <w:sz w:val="14"/>
                <w:highlight w:val="yellow"/>
              </w:rPr>
              <w:t xml:space="preserve">—</w:t>
            </w:r>
          </w:p>
        </w:tc>
        <w:tc>
          <w:tcPr>
            <w:tcW w:type="dxa" w:w="2664"/>
            <w:shd w:fill="F8FBFE"/>
            <w:vAlign w:val="center"/>
          </w:tcPr>
          <w:p>
            <w:pPr>
              <w:spacing w:after="0"/>
            </w:pPr>
            <w:r/>
            <w:r>
              <w:rPr>
                <w:b w:val="0"/>
                <w:i w:val="0"/>
                <w:sz w:val="14"/>
              </w:rPr>
              <w:t xml:space="preserve">—</w:t>
            </w:r>
          </w:p>
        </w:tc>
        <w:tc>
          <w:tcPr>
            <w:tcW w:type="dxa" w:w="2664"/>
            <w:shd w:fill="F8FBFE"/>
            <w:vAlign w:val="center"/>
          </w:tcPr>
          <w:p>
            <w:pPr>
              <w:spacing w:after="0"/>
            </w:pPr>
            <w:r/>
            <w:r>
              <w:rPr>
                <w:b/>
                <w:i w:val="0"/>
                <w:color w:val="000000"/>
                <w:sz w:val="14"/>
                <w:highlight w:val="yellow"/>
              </w:rPr>
              <w:t xml:space="preserve">Per approved investment operations policy and valuation records.</w:t>
            </w:r>
          </w:p>
        </w:tc>
      </w:tr>
      <w:tr>
        <w:tc>
          <w:tcPr>
            <w:tcW w:type="dxa" w:w="2664"/>
            <w:vAlign w:val="center"/>
          </w:tcPr>
          <w:p>
            <w:pPr>
              <w:spacing w:after="0"/>
            </w:pPr>
            <w:r/>
            <w:r>
              <w:rPr>
                <w:b w:val="0"/>
                <w:i w:val="0"/>
                <w:sz w:val="14"/>
              </w:rPr>
              <w:t>Payables: overdue</w:t>
            </w:r>
          </w:p>
        </w:tc>
        <w:tc>
          <w:tcPr>
            <w:tcW w:type="dxa" w:w="2664"/>
            <w:vAlign w:val="center"/>
          </w:tcPr>
          <w:p>
            <w:pPr>
              <w:spacing w:after="0"/>
            </w:pPr>
            <w:r/>
            <w:r>
              <w:rPr>
                <w:b/>
                <w:i w:val="0"/>
                <w:color w:val="000000"/>
                <w:sz w:val="14"/>
                <w:highlight w:val="yellow"/>
              </w:rPr>
              <w:t xml:space="preserve">—</w:t>
            </w:r>
          </w:p>
        </w:tc>
        <w:tc>
          <w:tcPr>
            <w:tcW w:type="dxa" w:w="2664"/>
            <w:vAlign w:val="center"/>
          </w:tcPr>
          <w:p>
            <w:pPr>
              <w:spacing w:after="0"/>
            </w:pPr>
            <w:r/>
            <w:r>
              <w:rPr>
                <w:b w:val="0"/>
                <w:i w:val="0"/>
                <w:sz w:val="14"/>
              </w:rPr>
              <w:t xml:space="preserve">—</w:t>
            </w:r>
          </w:p>
        </w:tc>
        <w:tc>
          <w:tcPr>
            <w:tcW w:type="dxa" w:w="2664"/>
            <w:vAlign w:val="center"/>
          </w:tcPr>
          <w:p>
            <w:pPr>
              <w:spacing w:after="0"/>
            </w:pPr>
            <w:r/>
            <w:r>
              <w:rPr>
                <w:b/>
                <w:i w:val="0"/>
                <w:color w:val="000000"/>
                <w:sz w:val="14"/>
                <w:highlight w:val="yellow"/>
              </w:rPr>
              <w:t xml:space="preserve">Per approved investment operations policy and valuation records.</w:t>
            </w:r>
          </w:p>
        </w:tc>
      </w:tr>
    </w:tbl>
    <w:p>
      <w:pPr>
        <w:spacing w:after="80" w:line="240" w:lineRule="auto"/>
      </w:pPr>
    </w:p>
    <w:p>
      <w:pPr>
        <w:spacing w:before="200" w:after="120" w:line="240" w:lineRule="auto"/>
        <w:pBdr>
          <w:bottom w:val="single" w:sz="8" w:space="4" w:color="1E88E5"/>
        </w:pBdr>
      </w:pPr>
      <w:r>
        <w:rPr>
          <w:b/>
          <w:color w:val="071827"/>
          <w:sz w:val="28"/>
        </w:rPr>
        <w:t>10. Exposure and Concentration Schedule</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This section supports prudential review and assists management to identify capital pressure from concentration, liquidity or market exposure. Replace rows with the entity’s actual exposure categories.</w:t>
            </w:r>
          </w:p>
        </w:tc>
      </w:tr>
    </w:tbl>
    <w:p>
      <w:pPr>
        <w:spacing w:after="40" w:line="240" w:lineRule="auto"/>
      </w:pP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Exposure Category</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Amount</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 of Total Exposure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Risk / Capital Treatment</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Comment</w:t>
            </w:r>
          </w:p>
        </w:tc>
      </w:tr>
      <w:tr>
        <w:tc>
          <w:tcPr>
            <w:tcW w:type="dxa" w:w="2131"/>
            <w:shd w:fill="F8FBFE"/>
            <w:vAlign w:val="center"/>
          </w:tcPr>
          <w:p>
            <w:pPr>
              <w:spacing w:after="0"/>
            </w:pPr>
            <w:r/>
            <w:r>
              <w:rPr>
                <w:b w:val="0"/>
                <w:i w:val="0"/>
                <w:sz w:val="14"/>
              </w:rPr>
              <w:t>Listed equities</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100.00%</w:t>
            </w:r>
          </w:p>
        </w:tc>
        <w:tc>
          <w:tcPr>
            <w:tcW w:type="dxa" w:w="2131"/>
            <w:shd w:fill="F8FBFE"/>
            <w:vAlign w:val="center"/>
          </w:tcPr>
          <w:p>
            <w:pPr>
              <w:spacing w:after="0"/>
            </w:pPr>
            <w:r/>
            <w:r>
              <w:rPr>
                <w:b/>
                <w:i w:val="0"/>
                <w:color w:val="000000"/>
                <w:sz w:val="14"/>
                <w:highlight w:val="yellow"/>
              </w:rPr>
              <w:t xml:space="preserve">Per approved investment operations policy and valuation records.</w:t>
            </w:r>
          </w:p>
        </w:tc>
        <w:tc>
          <w:tcPr>
            <w:tcW w:type="dxa" w:w="2131"/>
            <w:shd w:fill="F8FBFE"/>
            <w:vAlign w:val="center"/>
          </w:tcPr>
          <w:p>
            <w:pPr>
              <w:spacing w:after="0"/>
            </w:pPr>
            <w:r/>
            <w:r>
              <w:rPr>
                <w:b/>
                <w:i w:val="0"/>
                <w:color w:val="000000"/>
                <w:sz w:val="14"/>
                <w:highlight w:val="yellow"/>
              </w:rPr>
              <w:t xml:space="preserve">Per approved investment operations policy and valuation records.</w:t>
            </w:r>
          </w:p>
        </w:tc>
      </w:tr>
      <w:tr>
        <w:tc>
          <w:tcPr>
            <w:tcW w:type="dxa" w:w="2131"/>
            <w:vAlign w:val="center"/>
          </w:tcPr>
          <w:p>
            <w:pPr>
              <w:spacing w:after="0"/>
            </w:pPr>
            <w:r/>
            <w:r>
              <w:rPr>
                <w:b w:val="0"/>
                <w:i w:val="0"/>
                <w:sz w:val="14"/>
              </w:rPr>
              <w:t>Money market instruments</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0.00%</w:t>
            </w:r>
          </w:p>
        </w:tc>
        <w:tc>
          <w:tcPr>
            <w:tcW w:type="dxa" w:w="2131"/>
            <w:vAlign w:val="center"/>
          </w:tcPr>
          <w:p>
            <w:pPr>
              <w:spacing w:after="0"/>
            </w:pPr>
            <w:r/>
            <w:r>
              <w:rPr>
                <w:b/>
                <w:i w:val="0"/>
                <w:color w:val="000000"/>
                <w:sz w:val="14"/>
                <w:highlight w:val="yellow"/>
              </w:rPr>
              <w:t xml:space="preserve">Per approved investment operations policy and valuation records.</w:t>
            </w:r>
          </w:p>
        </w:tc>
        <w:tc>
          <w:tcPr>
            <w:tcW w:type="dxa" w:w="2131"/>
            <w:vAlign w:val="center"/>
          </w:tcPr>
          <w:p>
            <w:pPr>
              <w:spacing w:after="0"/>
            </w:pPr>
            <w:r/>
            <w:r>
              <w:rPr>
                <w:b/>
                <w:i w:val="0"/>
                <w:color w:val="000000"/>
                <w:sz w:val="14"/>
                <w:highlight w:val="yellow"/>
              </w:rPr>
              <w:t xml:space="preserve">Per approved investment operations policy and valuation records.</w:t>
            </w:r>
          </w:p>
        </w:tc>
      </w:tr>
      <w:tr>
        <w:tc>
          <w:tcPr>
            <w:tcW w:type="dxa" w:w="2131"/>
            <w:shd w:fill="F8FBFE"/>
            <w:vAlign w:val="center"/>
          </w:tcPr>
          <w:p>
            <w:pPr>
              <w:spacing w:after="0"/>
            </w:pPr>
            <w:r/>
            <w:r>
              <w:rPr>
                <w:b w:val="0"/>
                <w:i w:val="0"/>
                <w:sz w:val="14"/>
              </w:rPr>
              <w:t>Bonds / fixed income</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0.00%</w:t>
            </w:r>
          </w:p>
        </w:tc>
        <w:tc>
          <w:tcPr>
            <w:tcW w:type="dxa" w:w="2131"/>
            <w:shd w:fill="F8FBFE"/>
            <w:vAlign w:val="center"/>
          </w:tcPr>
          <w:p>
            <w:pPr>
              <w:spacing w:after="0"/>
            </w:pPr>
            <w:r/>
            <w:r>
              <w:rPr>
                <w:b/>
                <w:i w:val="0"/>
                <w:color w:val="000000"/>
                <w:sz w:val="14"/>
                <w:highlight w:val="yellow"/>
              </w:rPr>
              <w:t xml:space="preserve">Per approved investment operations policy and valuation records.</w:t>
            </w:r>
          </w:p>
        </w:tc>
        <w:tc>
          <w:tcPr>
            <w:tcW w:type="dxa" w:w="2131"/>
            <w:shd w:fill="F8FBFE"/>
            <w:vAlign w:val="center"/>
          </w:tcPr>
          <w:p>
            <w:pPr>
              <w:spacing w:after="0"/>
            </w:pPr>
            <w:r/>
            <w:r>
              <w:rPr>
                <w:b/>
                <w:i w:val="0"/>
                <w:color w:val="000000"/>
                <w:sz w:val="14"/>
                <w:highlight w:val="yellow"/>
              </w:rPr>
              <w:t xml:space="preserve">Per approved investment operations policy and valuation records.</w:t>
            </w:r>
          </w:p>
        </w:tc>
      </w:tr>
      <w:tr>
        <w:tc>
          <w:tcPr>
            <w:tcW w:type="dxa" w:w="2131"/>
            <w:vAlign w:val="center"/>
          </w:tcPr>
          <w:p>
            <w:pPr>
              <w:spacing w:after="0"/>
            </w:pPr>
            <w:r/>
            <w:r>
              <w:rPr>
                <w:b w:val="0"/>
                <w:i w:val="0"/>
                <w:sz w:val="14"/>
              </w:rPr>
              <w:t>Unquoted / private investments</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0.00%</w:t>
            </w:r>
          </w:p>
        </w:tc>
        <w:tc>
          <w:tcPr>
            <w:tcW w:type="dxa" w:w="2131"/>
            <w:vAlign w:val="center"/>
          </w:tcPr>
          <w:p>
            <w:pPr>
              <w:spacing w:after="0"/>
            </w:pPr>
            <w:r/>
            <w:r>
              <w:rPr>
                <w:b/>
                <w:i w:val="0"/>
                <w:color w:val="000000"/>
                <w:sz w:val="14"/>
                <w:highlight w:val="yellow"/>
              </w:rPr>
              <w:t xml:space="preserve">Per approved investment operations policy and valuation records.</w:t>
            </w:r>
          </w:p>
        </w:tc>
        <w:tc>
          <w:tcPr>
            <w:tcW w:type="dxa" w:w="2131"/>
            <w:vAlign w:val="center"/>
          </w:tcPr>
          <w:p>
            <w:pPr>
              <w:spacing w:after="0"/>
            </w:pPr>
            <w:r/>
            <w:r>
              <w:rPr>
                <w:b/>
                <w:i w:val="0"/>
                <w:color w:val="000000"/>
                <w:sz w:val="14"/>
                <w:highlight w:val="yellow"/>
              </w:rPr>
              <w:t xml:space="preserve">Per approved investment operations policy and valuation records.</w:t>
            </w:r>
          </w:p>
        </w:tc>
      </w:tr>
      <w:tr>
        <w:tc>
          <w:tcPr>
            <w:tcW w:type="dxa" w:w="2131"/>
            <w:shd w:fill="F8FBFE"/>
            <w:vAlign w:val="center"/>
          </w:tcPr>
          <w:p>
            <w:pPr>
              <w:spacing w:after="0"/>
            </w:pPr>
            <w:r/>
            <w:r>
              <w:rPr>
                <w:b w:val="0"/>
                <w:i w:val="0"/>
                <w:sz w:val="14"/>
              </w:rPr>
              <w:t>Property / other assets</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0.00%</w:t>
            </w:r>
          </w:p>
        </w:tc>
        <w:tc>
          <w:tcPr>
            <w:tcW w:type="dxa" w:w="2131"/>
            <w:shd w:fill="F8FBFE"/>
            <w:vAlign w:val="center"/>
          </w:tcPr>
          <w:p>
            <w:pPr>
              <w:spacing w:after="0"/>
            </w:pPr>
            <w:r/>
            <w:r>
              <w:rPr>
                <w:b/>
                <w:i w:val="0"/>
                <w:color w:val="000000"/>
                <w:sz w:val="14"/>
                <w:highlight w:val="yellow"/>
              </w:rPr>
              <w:t xml:space="preserve">Per approved investment operations policy and valuation records.</w:t>
            </w:r>
          </w:p>
        </w:tc>
        <w:tc>
          <w:tcPr>
            <w:tcW w:type="dxa" w:w="2131"/>
            <w:shd w:fill="F8FBFE"/>
            <w:vAlign w:val="center"/>
          </w:tcPr>
          <w:p>
            <w:pPr>
              <w:spacing w:after="0"/>
            </w:pPr>
            <w:r/>
            <w:r>
              <w:rPr>
                <w:b/>
                <w:i w:val="0"/>
                <w:color w:val="000000"/>
                <w:sz w:val="14"/>
                <w:highlight w:val="yellow"/>
              </w:rPr>
              <w:t xml:space="preserve">Per approved investment operations policy and valuation records.</w:t>
            </w:r>
          </w:p>
        </w:tc>
      </w:tr>
      <w:tr>
        <w:tc>
          <w:tcPr>
            <w:tcW w:type="dxa" w:w="2131"/>
            <w:vAlign w:val="center"/>
          </w:tcPr>
          <w:p>
            <w:pPr>
              <w:spacing w:after="0"/>
            </w:pPr>
            <w:r/>
            <w:r>
              <w:rPr>
                <w:b w:val="0"/>
                <w:i w:val="0"/>
                <w:sz w:val="14"/>
              </w:rPr>
              <w:t>Issuer concentration: top 5</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0.00%</w:t>
            </w:r>
          </w:p>
        </w:tc>
        <w:tc>
          <w:tcPr>
            <w:tcW w:type="dxa" w:w="2131"/>
            <w:vAlign w:val="center"/>
          </w:tcPr>
          <w:p>
            <w:pPr>
              <w:spacing w:after="0"/>
            </w:pPr>
            <w:r/>
            <w:r>
              <w:rPr>
                <w:b/>
                <w:i w:val="0"/>
                <w:color w:val="000000"/>
                <w:sz w:val="14"/>
                <w:highlight w:val="yellow"/>
              </w:rPr>
              <w:t xml:space="preserve">Per approved investment operations policy and valuation records.</w:t>
            </w:r>
          </w:p>
        </w:tc>
        <w:tc>
          <w:tcPr>
            <w:tcW w:type="dxa" w:w="2131"/>
            <w:vAlign w:val="center"/>
          </w:tcPr>
          <w:p>
            <w:pPr>
              <w:spacing w:after="0"/>
            </w:pPr>
            <w:r/>
            <w:r>
              <w:rPr>
                <w:b/>
                <w:i w:val="0"/>
                <w:color w:val="000000"/>
                <w:sz w:val="14"/>
                <w:highlight w:val="yellow"/>
              </w:rPr>
              <w:t xml:space="preserve">Per approved investment operations policy and valuation records.</w:t>
            </w:r>
          </w:p>
        </w:tc>
      </w:tr>
      <w:tr>
        <w:tc>
          <w:tcPr>
            <w:tcW w:type="dxa" w:w="2131"/>
            <w:shd w:fill="F8FBFE"/>
            <w:vAlign w:val="center"/>
          </w:tcPr>
          <w:p>
            <w:pPr>
              <w:spacing w:after="0"/>
            </w:pPr>
            <w:r/>
            <w:r>
              <w:rPr>
                <w:b w:val="0"/>
                <w:i w:val="0"/>
                <w:sz w:val="14"/>
              </w:rPr>
              <w:t>Currency concentration</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0.00%</w:t>
            </w:r>
          </w:p>
        </w:tc>
        <w:tc>
          <w:tcPr>
            <w:tcW w:type="dxa" w:w="2131"/>
            <w:shd w:fill="F8FBFE"/>
            <w:vAlign w:val="center"/>
          </w:tcPr>
          <w:p>
            <w:pPr>
              <w:spacing w:after="0"/>
            </w:pPr>
            <w:r/>
            <w:r>
              <w:rPr>
                <w:b/>
                <w:i w:val="0"/>
                <w:color w:val="000000"/>
                <w:sz w:val="14"/>
                <w:highlight w:val="yellow"/>
              </w:rPr>
              <w:t xml:space="preserve">Per approved investment operations policy and valuation records.</w:t>
            </w:r>
          </w:p>
        </w:tc>
        <w:tc>
          <w:tcPr>
            <w:tcW w:type="dxa" w:w="2131"/>
            <w:shd w:fill="F8FBFE"/>
            <w:vAlign w:val="center"/>
          </w:tcPr>
          <w:p>
            <w:pPr>
              <w:spacing w:after="0"/>
            </w:pPr>
            <w:r/>
            <w:r>
              <w:rPr>
                <w:b/>
                <w:i w:val="0"/>
                <w:color w:val="000000"/>
                <w:sz w:val="14"/>
                <w:highlight w:val="yellow"/>
              </w:rPr>
              <w:t xml:space="preserve">Per approved investment operations policy and valuation records.</w:t>
            </w:r>
          </w:p>
        </w:tc>
      </w:tr>
    </w:tbl>
    <w:p>
      <w:pPr>
        <w:spacing w:after="80" w:line="240" w:lineRule="auto"/>
      </w:pPr>
    </w:p>
    <w:p>
      <w:pPr>
        <w:spacing w:before="200" w:after="120" w:line="240" w:lineRule="auto"/>
        <w:pBdr>
          <w:bottom w:val="single" w:sz="8" w:space="4" w:color="1E88E5"/>
        </w:pBdr>
      </w:pPr>
      <w:r>
        <w:rPr>
          <w:b/>
          <w:color w:val="071827"/>
          <w:sz w:val="28"/>
        </w:rPr>
        <w:t>11. Reconciliation to Source Modules</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Reconciliation Area</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Source Module / Record</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Control Status</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Exception Reference</w:t>
            </w:r>
          </w:p>
        </w:tc>
      </w:tr>
      <w:tr>
        <w:tc>
          <w:tcPr>
            <w:tcW w:type="dxa" w:w="2664"/>
            <w:shd w:fill="F8FBFE"/>
            <w:vAlign w:val="center"/>
          </w:tcPr>
          <w:p>
            <w:pPr>
              <w:spacing w:after="0"/>
            </w:pPr>
            <w:r/>
            <w:r>
              <w:rPr>
                <w:b w:val="0"/>
                <w:i w:val="0"/>
                <w:sz w:val="14"/>
              </w:rPr>
              <w:t>Trial balance to management accounts</w:t>
            </w:r>
          </w:p>
        </w:tc>
        <w:tc>
          <w:tcPr>
            <w:tcW w:type="dxa" w:w="2664"/>
            <w:shd w:fill="F8FBFE"/>
            <w:vAlign w:val="center"/>
          </w:tcPr>
          <w:p>
            <w:pPr>
              <w:spacing w:after="0"/>
            </w:pPr>
            <w:r/>
            <w:r>
              <w:rPr>
                <w:b w:val="0"/>
                <w:i w:val="0"/>
                <w:sz w:val="14"/>
              </w:rPr>
              <w:t>Accounting</w:t>
            </w:r>
          </w:p>
        </w:tc>
        <w:tc>
          <w:tcPr>
            <w:tcW w:type="dxa" w:w="2664"/>
            <w:shd w:fill="F8FBFE"/>
            <w:vAlign w:val="center"/>
          </w:tcPr>
          <w:p>
            <w:pPr>
              <w:spacing w:after="0"/>
            </w:pPr>
            <w:r/>
            <w:r>
              <w:rPr>
                <w:b/>
                <w:i w:val="0"/>
                <w:color w:val="000000"/>
                <w:sz w:val="14"/>
                <w:highlight w:val="yellow"/>
              </w:rPr>
              <w:t xml:space="preserve">—</w:t>
            </w:r>
          </w:p>
        </w:tc>
        <w:tc>
          <w:tcPr>
            <w:tcW w:type="dxa" w:w="2664"/>
            <w:shd w:fill="F8FBFE"/>
            <w:vAlign w:val="center"/>
          </w:tcPr>
          <w:p>
            <w:pPr>
              <w:spacing w:after="0"/>
            </w:pPr>
            <w:r/>
            <w:r>
              <w:rPr>
                <w:b/>
                <w:i w:val="0"/>
                <w:color w:val="000000"/>
                <w:sz w:val="14"/>
                <w:highlight w:val="yellow"/>
              </w:rPr>
              <w:t xml:space="preserve">0</w:t>
            </w:r>
          </w:p>
        </w:tc>
      </w:tr>
      <w:tr>
        <w:tc>
          <w:tcPr>
            <w:tcW w:type="dxa" w:w="2664"/>
            <w:vAlign w:val="center"/>
          </w:tcPr>
          <w:p>
            <w:pPr>
              <w:spacing w:after="0"/>
            </w:pPr>
            <w:r/>
            <w:r>
              <w:rPr>
                <w:b w:val="0"/>
                <w:i w:val="0"/>
                <w:sz w:val="14"/>
              </w:rPr>
              <w:t>Management accounts to prudential return pack</w:t>
            </w:r>
          </w:p>
        </w:tc>
        <w:tc>
          <w:tcPr>
            <w:tcW w:type="dxa" w:w="2664"/>
            <w:vAlign w:val="center"/>
          </w:tcPr>
          <w:p>
            <w:pPr>
              <w:spacing w:after="0"/>
            </w:pPr>
            <w:r/>
            <w:r>
              <w:rPr>
                <w:b w:val="0"/>
                <w:i w:val="0"/>
                <w:sz w:val="14"/>
              </w:rPr>
              <w:t>Accounting / Reporting</w:t>
            </w:r>
          </w:p>
        </w:tc>
        <w:tc>
          <w:tcPr>
            <w:tcW w:type="dxa" w:w="2664"/>
            <w:vAlign w:val="center"/>
          </w:tcPr>
          <w:p>
            <w:pPr>
              <w:spacing w:after="0"/>
            </w:pPr>
            <w:r/>
            <w:r>
              <w:rPr>
                <w:b/>
                <w:i w:val="0"/>
                <w:color w:val="000000"/>
                <w:sz w:val="14"/>
                <w:highlight w:val="yellow"/>
              </w:rPr>
              <w:t xml:space="preserve">—</w:t>
            </w:r>
          </w:p>
        </w:tc>
        <w:tc>
          <w:tcPr>
            <w:tcW w:type="dxa" w:w="2664"/>
            <w:vAlign w:val="center"/>
          </w:tcPr>
          <w:p>
            <w:pPr>
              <w:spacing w:after="0"/>
            </w:pPr>
            <w:r/>
            <w:r>
              <w:rPr>
                <w:b/>
                <w:i w:val="0"/>
                <w:color w:val="000000"/>
                <w:sz w:val="14"/>
                <w:highlight w:val="yellow"/>
              </w:rPr>
              <w:t xml:space="preserve">0.00%</w:t>
            </w:r>
          </w:p>
        </w:tc>
      </w:tr>
      <w:tr>
        <w:tc>
          <w:tcPr>
            <w:tcW w:type="dxa" w:w="2664"/>
            <w:shd w:fill="F8FBFE"/>
            <w:vAlign w:val="center"/>
          </w:tcPr>
          <w:p>
            <w:pPr>
              <w:spacing w:after="0"/>
            </w:pPr>
            <w:r/>
            <w:r>
              <w:rPr>
                <w:b w:val="0"/>
                <w:i w:val="0"/>
                <w:sz w:val="14"/>
              </w:rPr>
              <w:t>Portfolio valuations to FUM/AUM schedule</w:t>
            </w:r>
          </w:p>
        </w:tc>
        <w:tc>
          <w:tcPr>
            <w:tcW w:type="dxa" w:w="2664"/>
            <w:shd w:fill="F8FBFE"/>
            <w:vAlign w:val="center"/>
          </w:tcPr>
          <w:p>
            <w:pPr>
              <w:spacing w:after="0"/>
            </w:pPr>
            <w:r/>
            <w:r>
              <w:rPr>
                <w:b w:val="0"/>
                <w:i w:val="0"/>
                <w:sz w:val="14"/>
              </w:rPr>
              <w:t>Stock Price Collector / Portfolio Valuation</w:t>
            </w:r>
          </w:p>
        </w:tc>
        <w:tc>
          <w:tcPr>
            <w:tcW w:type="dxa" w:w="2664"/>
            <w:shd w:fill="F8FBFE"/>
            <w:vAlign w:val="center"/>
          </w:tcPr>
          <w:p>
            <w:pPr>
              <w:spacing w:after="0"/>
            </w:pPr>
            <w:r/>
            <w:r>
              <w:rPr>
                <w:b/>
                <w:i w:val="0"/>
                <w:color w:val="000000"/>
                <w:sz w:val="14"/>
                <w:highlight w:val="yellow"/>
              </w:rPr>
              <w:t xml:space="preserve">—</w:t>
            </w:r>
          </w:p>
        </w:tc>
        <w:tc>
          <w:tcPr>
            <w:tcW w:type="dxa" w:w="2664"/>
            <w:shd w:fill="F8FBFE"/>
            <w:vAlign w:val="center"/>
          </w:tcPr>
          <w:p>
            <w:pPr>
              <w:spacing w:after="0"/>
            </w:pPr>
            <w:r/>
            <w:r>
              <w:rPr>
                <w:b/>
                <w:i w:val="0"/>
                <w:color w:val="000000"/>
                <w:sz w:val="14"/>
                <w:highlight w:val="yellow"/>
              </w:rPr>
              <w:t xml:space="preserve">USD 0.00</w:t>
            </w:r>
          </w:p>
        </w:tc>
      </w:tr>
      <w:tr>
        <w:tc>
          <w:tcPr>
            <w:tcW w:type="dxa" w:w="2664"/>
            <w:vAlign w:val="center"/>
          </w:tcPr>
          <w:p>
            <w:pPr>
              <w:spacing w:after="0"/>
            </w:pPr>
            <w:r/>
            <w:r>
              <w:rPr>
                <w:b w:val="0"/>
                <w:i w:val="0"/>
                <w:sz w:val="14"/>
              </w:rPr>
              <w:t>Bank balances to bank statements</w:t>
            </w:r>
          </w:p>
        </w:tc>
        <w:tc>
          <w:tcPr>
            <w:tcW w:type="dxa" w:w="2664"/>
            <w:vAlign w:val="center"/>
          </w:tcPr>
          <w:p>
            <w:pPr>
              <w:spacing w:after="0"/>
            </w:pPr>
            <w:r/>
            <w:r>
              <w:rPr>
                <w:b w:val="0"/>
                <w:i w:val="0"/>
                <w:sz w:val="14"/>
              </w:rPr>
              <w:t>Accounting / Cashbook</w:t>
            </w:r>
          </w:p>
        </w:tc>
        <w:tc>
          <w:tcPr>
            <w:tcW w:type="dxa" w:w="2664"/>
            <w:vAlign w:val="center"/>
          </w:tcPr>
          <w:p>
            <w:pPr>
              <w:spacing w:after="0"/>
            </w:pPr>
            <w:r/>
            <w:r>
              <w:rPr>
                <w:b/>
                <w:i w:val="0"/>
                <w:color w:val="000000"/>
                <w:sz w:val="14"/>
                <w:highlight w:val="yellow"/>
              </w:rPr>
              <w:t xml:space="preserve">—</w:t>
            </w:r>
          </w:p>
        </w:tc>
        <w:tc>
          <w:tcPr>
            <w:tcW w:type="dxa" w:w="2664"/>
            <w:vAlign w:val="center"/>
          </w:tcPr>
          <w:p>
            <w:pPr>
              <w:spacing w:after="0"/>
            </w:pPr>
            <w:r/>
            <w:r>
              <w:rPr>
                <w:b/>
                <w:i w:val="0"/>
                <w:color w:val="000000"/>
                <w:sz w:val="14"/>
                <w:highlight w:val="yellow"/>
              </w:rPr>
              <w:t xml:space="preserve">—</w:t>
            </w:r>
          </w:p>
        </w:tc>
      </w:tr>
      <w:tr>
        <w:tc>
          <w:tcPr>
            <w:tcW w:type="dxa" w:w="2664"/>
            <w:shd w:fill="F8FBFE"/>
            <w:vAlign w:val="center"/>
          </w:tcPr>
          <w:p>
            <w:pPr>
              <w:spacing w:after="0"/>
            </w:pPr>
            <w:r/>
            <w:r>
              <w:rPr>
                <w:b w:val="0"/>
                <w:i w:val="0"/>
                <w:sz w:val="14"/>
              </w:rPr>
              <w:t>Receivables/payables to ageing schedules</w:t>
            </w:r>
          </w:p>
        </w:tc>
        <w:tc>
          <w:tcPr>
            <w:tcW w:type="dxa" w:w="2664"/>
            <w:shd w:fill="F8FBFE"/>
            <w:vAlign w:val="center"/>
          </w:tcPr>
          <w:p>
            <w:pPr>
              <w:spacing w:after="0"/>
            </w:pPr>
            <w:r/>
            <w:r>
              <w:rPr>
                <w:b w:val="0"/>
                <w:i w:val="0"/>
                <w:sz w:val="14"/>
              </w:rPr>
              <w:t>Accounting</w:t>
            </w:r>
          </w:p>
        </w:tc>
        <w:tc>
          <w:tcPr>
            <w:tcW w:type="dxa" w:w="2664"/>
            <w:shd w:fill="F8FBFE"/>
            <w:vAlign w:val="center"/>
          </w:tcPr>
          <w:p>
            <w:pPr>
              <w:spacing w:after="0"/>
            </w:pPr>
            <w:r/>
            <w:r>
              <w:rPr>
                <w:b/>
                <w:i w:val="0"/>
                <w:color w:val="000000"/>
                <w:sz w:val="14"/>
                <w:highlight w:val="yellow"/>
              </w:rPr>
              <w:t xml:space="preserve">—</w:t>
            </w:r>
          </w:p>
        </w:tc>
        <w:tc>
          <w:tcPr>
            <w:tcW w:type="dxa" w:w="2664"/>
            <w:shd w:fill="F8FBFE"/>
            <w:vAlign w:val="center"/>
          </w:tcPr>
          <w:p>
            <w:pPr>
              <w:spacing w:after="0"/>
            </w:pPr>
            <w:r/>
            <w:r>
              <w:rPr>
                <w:b/>
                <w:i w:val="0"/>
                <w:color w:val="000000"/>
                <w:sz w:val="14"/>
                <w:highlight w:val="yellow"/>
              </w:rPr>
              <w:t xml:space="preserve">—</w:t>
            </w:r>
          </w:p>
        </w:tc>
      </w:tr>
      <w:tr>
        <w:tc>
          <w:tcPr>
            <w:tcW w:type="dxa" w:w="2664"/>
            <w:vAlign w:val="center"/>
          </w:tcPr>
          <w:p>
            <w:pPr>
              <w:spacing w:after="0"/>
            </w:pPr>
            <w:r/>
            <w:r>
              <w:rPr>
                <w:b w:val="0"/>
                <w:i w:val="0"/>
                <w:sz w:val="14"/>
              </w:rPr>
              <w:t>FX rates to approved FX table</w:t>
            </w:r>
          </w:p>
        </w:tc>
        <w:tc>
          <w:tcPr>
            <w:tcW w:type="dxa" w:w="2664"/>
            <w:vAlign w:val="center"/>
          </w:tcPr>
          <w:p>
            <w:pPr>
              <w:spacing w:after="0"/>
            </w:pPr>
            <w:r/>
            <w:r>
              <w:rPr>
                <w:b w:val="0"/>
                <w:i w:val="0"/>
                <w:sz w:val="14"/>
              </w:rPr>
              <w:t>Accounting / Market Data</w:t>
            </w:r>
          </w:p>
        </w:tc>
        <w:tc>
          <w:tcPr>
            <w:tcW w:type="dxa" w:w="2664"/>
            <w:vAlign w:val="center"/>
          </w:tcPr>
          <w:p>
            <w:pPr>
              <w:spacing w:after="0"/>
            </w:pPr>
            <w:r/>
            <w:r>
              <w:rPr>
                <w:b/>
                <w:i w:val="0"/>
                <w:color w:val="000000"/>
                <w:sz w:val="14"/>
                <w:highlight w:val="yellow"/>
              </w:rPr>
              <w:t xml:space="preserve">—</w:t>
            </w:r>
          </w:p>
        </w:tc>
        <w:tc>
          <w:tcPr>
            <w:tcW w:type="dxa" w:w="2664"/>
            <w:vAlign w:val="center"/>
          </w:tcPr>
          <w:p>
            <w:pPr>
              <w:spacing w:after="0"/>
            </w:pPr>
            <w:r/>
            <w:r>
              <w:rPr>
                <w:b/>
                <w:i w:val="0"/>
                <w:color w:val="000000"/>
                <w:sz w:val="14"/>
                <w:highlight w:val="yellow"/>
              </w:rPr>
              <w:t xml:space="preserve">—</w:t>
            </w:r>
          </w:p>
        </w:tc>
      </w:tr>
      <w:tr>
        <w:tc>
          <w:tcPr>
            <w:tcW w:type="dxa" w:w="2664"/>
            <w:shd w:fill="F8FBFE"/>
            <w:vAlign w:val="center"/>
          </w:tcPr>
          <w:p>
            <w:pPr>
              <w:spacing w:after="0"/>
            </w:pPr>
            <w:r/>
            <w:r>
              <w:rPr>
                <w:b w:val="0"/>
                <w:i w:val="0"/>
                <w:sz w:val="14"/>
              </w:rPr>
              <w:t>Capital adequacy schedules to report output</w:t>
            </w:r>
          </w:p>
        </w:tc>
        <w:tc>
          <w:tcPr>
            <w:tcW w:type="dxa" w:w="2664"/>
            <w:shd w:fill="F8FBFE"/>
            <w:vAlign w:val="center"/>
          </w:tcPr>
          <w:p>
            <w:pPr>
              <w:spacing w:after="0"/>
            </w:pPr>
            <w:r/>
            <w:r>
              <w:rPr>
                <w:b w:val="0"/>
                <w:i w:val="0"/>
                <w:sz w:val="14"/>
              </w:rPr>
              <w:t>Quarterly Reporting Module</w:t>
            </w:r>
          </w:p>
        </w:tc>
        <w:tc>
          <w:tcPr>
            <w:tcW w:type="dxa" w:w="2664"/>
            <w:shd w:fill="F8FBFE"/>
            <w:vAlign w:val="center"/>
          </w:tcPr>
          <w:p>
            <w:pPr>
              <w:spacing w:after="0"/>
            </w:pPr>
            <w:r/>
            <w:r>
              <w:rPr>
                <w:b/>
                <w:i w:val="0"/>
                <w:color w:val="000000"/>
                <w:sz w:val="14"/>
                <w:highlight w:val="yellow"/>
              </w:rPr>
              <w:t xml:space="preserve">—</w:t>
            </w:r>
          </w:p>
        </w:tc>
        <w:tc>
          <w:tcPr>
            <w:tcW w:type="dxa" w:w="2664"/>
            <w:shd w:fill="F8FBFE"/>
            <w:vAlign w:val="center"/>
          </w:tcPr>
          <w:p>
            <w:pPr>
              <w:spacing w:after="0"/>
            </w:pPr>
            <w:r/>
            <w:r>
              <w:rPr>
                <w:b/>
                <w:i w:val="0"/>
                <w:color w:val="000000"/>
                <w:sz w:val="14"/>
                <w:highlight w:val="yellow"/>
              </w:rPr>
              <w:t xml:space="preserve">—</w:t>
            </w:r>
          </w:p>
        </w:tc>
      </w:tr>
    </w:tbl>
    <w:p>
      <w:pPr>
        <w:spacing w:after="80" w:line="240" w:lineRule="auto"/>
      </w:pPr>
    </w:p>
    <w:p>
      <w:pPr>
        <w:spacing w:before="200" w:after="120" w:line="240" w:lineRule="auto"/>
        <w:pBdr>
          <w:bottom w:val="single" w:sz="8" w:space="4" w:color="1E88E5"/>
        </w:pBdr>
      </w:pPr>
      <w:r>
        <w:rPr>
          <w:b/>
          <w:color w:val="071827"/>
          <w:sz w:val="28"/>
        </w:rPr>
        <w:t>12. Exceptions, Breaches and Remediation Plan</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Record every capital adequacy exception, late item, unresolved reconciliation difference, capital shortfall or governance breach. If there are no exceptions, state "None noted" and confirm who reviewed the position.</w:t>
            </w:r>
          </w:p>
        </w:tc>
      </w:tr>
    </w:tbl>
    <w:p>
      <w:pPr>
        <w:spacing w:after="40" w:line="240" w:lineRule="auto"/>
      </w:pPr>
    </w:p>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Exception ID</w:t>
            </w:r>
          </w:p>
        </w:tc>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Exception / Breach</w:t>
            </w:r>
          </w:p>
        </w:tc>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Impact on CAR</w:t>
            </w:r>
          </w:p>
        </w:tc>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Owner</w:t>
            </w:r>
          </w:p>
        </w:tc>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Target Resolution Date</w:t>
            </w:r>
          </w:p>
        </w:tc>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Status</w:t>
            </w:r>
          </w:p>
        </w:tc>
      </w:tr>
      <w:tr>
        <w:tc>
          <w:tcPr>
            <w:tcW w:type="dxa" w:w="1776"/>
            <w:shd w:fill="F8FBFE"/>
            <w:vAlign w:val="center"/>
          </w:tcPr>
          <w:p>
            <w:pPr>
              <w:spacing w:after="0"/>
            </w:pPr>
            <w:r/>
            <w:r>
              <w:rPr>
                <w:b/>
                <w:i w:val="0"/>
                <w:color w:val="000000"/>
                <w:sz w:val="14"/>
                <w:highlight w:val="yellow"/>
              </w:rPr>
              <w:t xml:space="preserve">—</w:t>
            </w:r>
          </w:p>
        </w:tc>
        <w:tc>
          <w:tcPr>
            <w:tcW w:type="dxa" w:w="1776"/>
            <w:shd w:fill="F8FBFE"/>
            <w:vAlign w:val="center"/>
          </w:tcPr>
          <w:p>
            <w:pPr>
              <w:spacing w:after="0"/>
            </w:pPr>
            <w:r/>
            <w:r>
              <w:rPr>
                <w:b/>
                <w:i w:val="0"/>
                <w:color w:val="000000"/>
                <w:sz w:val="14"/>
                <w:highlight w:val="yellow"/>
              </w:rPr>
              <w:t xml:space="preserve">Per approved investment operations policy and valuation records.</w:t>
            </w:r>
          </w:p>
        </w:tc>
        <w:tc>
          <w:tcPr>
            <w:tcW w:type="dxa" w:w="1776"/>
            <w:shd w:fill="F8FBFE"/>
            <w:vAlign w:val="center"/>
          </w:tcPr>
          <w:p>
            <w:pPr>
              <w:spacing w:after="0"/>
            </w:pPr>
            <w:r/>
            <w:r>
              <w:rPr>
                <w:b/>
                <w:i w:val="0"/>
                <w:color w:val="000000"/>
                <w:sz w:val="14"/>
                <w:highlight w:val="yellow"/>
              </w:rPr>
              <w:t xml:space="preserve">—</w:t>
            </w:r>
          </w:p>
        </w:tc>
        <w:tc>
          <w:tcPr>
            <w:tcW w:type="dxa" w:w="1776"/>
            <w:shd w:fill="F8FBFE"/>
            <w:vAlign w:val="center"/>
          </w:tcPr>
          <w:p>
            <w:pPr>
              <w:spacing w:after="0"/>
            </w:pPr>
            <w:r/>
            <w:r>
              <w:rPr>
                <w:b/>
                <w:i w:val="0"/>
                <w:color w:val="000000"/>
                <w:sz w:val="14"/>
                <w:highlight w:val="yellow"/>
              </w:rPr>
              <w:t xml:space="preserve">—</w:t>
            </w:r>
          </w:p>
        </w:tc>
        <w:tc>
          <w:tcPr>
            <w:tcW w:type="dxa" w:w="1776"/>
            <w:shd w:fill="F8FBFE"/>
            <w:vAlign w:val="center"/>
          </w:tcPr>
          <w:p>
            <w:pPr>
              <w:spacing w:after="0"/>
            </w:pPr>
            <w:r/>
            <w:r>
              <w:rPr>
                <w:b/>
                <w:i w:val="0"/>
                <w:color w:val="000000"/>
                <w:sz w:val="14"/>
                <w:highlight w:val="yellow"/>
              </w:rPr>
              <w:t xml:space="preserve">2026-07-10</w:t>
            </w:r>
          </w:p>
        </w:tc>
        <w:tc>
          <w:tcPr>
            <w:tcW w:type="dxa" w:w="1776"/>
            <w:shd w:fill="F8FBFE"/>
            <w:vAlign w:val="center"/>
          </w:tcPr>
          <w:p>
            <w:pPr>
              <w:spacing w:after="0"/>
            </w:pPr>
            <w:r/>
            <w:r>
              <w:rPr>
                <w:b/>
                <w:i w:val="0"/>
                <w:color w:val="000000"/>
                <w:sz w:val="14"/>
                <w:highlight w:val="yellow"/>
              </w:rPr>
              <w:t xml:space="preserve">Pass</w:t>
            </w:r>
          </w:p>
        </w:tc>
      </w:tr>
      <w:tr>
        <w:tc>
          <w:tcPr>
            <w:tcW w:type="dxa" w:w="1776"/>
            <w:vAlign w:val="center"/>
          </w:tcPr>
          <w:p>
            <w:pPr>
              <w:spacing w:after="0"/>
            </w:pPr>
            <w:r/>
            <w:r>
              <w:rPr>
                <w:b/>
                <w:i w:val="0"/>
                <w:color w:val="000000"/>
                <w:sz w:val="14"/>
                <w:highlight w:val="yellow"/>
              </w:rPr>
              <w:t xml:space="preserve">—</w:t>
            </w:r>
          </w:p>
        </w:tc>
        <w:tc>
          <w:tcPr>
            <w:tcW w:type="dxa" w:w="1776"/>
            <w:vAlign w:val="center"/>
          </w:tcPr>
          <w:p>
            <w:pPr>
              <w:spacing w:after="0"/>
            </w:pPr>
            <w:r/>
            <w:r>
              <w:rPr>
                <w:b/>
                <w:i w:val="0"/>
                <w:color w:val="000000"/>
                <w:sz w:val="14"/>
                <w:highlight w:val="yellow"/>
              </w:rPr>
              <w:t xml:space="preserve">Per approved investment operations policy and valuation records.</w:t>
            </w:r>
          </w:p>
        </w:tc>
        <w:tc>
          <w:tcPr>
            <w:tcW w:type="dxa" w:w="1776"/>
            <w:vAlign w:val="center"/>
          </w:tcPr>
          <w:p>
            <w:pPr>
              <w:spacing w:after="0"/>
            </w:pPr>
            <w:r/>
            <w:r>
              <w:rPr>
                <w:b/>
                <w:i w:val="0"/>
                <w:color w:val="000000"/>
                <w:sz w:val="14"/>
                <w:highlight w:val="yellow"/>
              </w:rPr>
              <w:t xml:space="preserve">—</w:t>
            </w:r>
          </w:p>
        </w:tc>
        <w:tc>
          <w:tcPr>
            <w:tcW w:type="dxa" w:w="1776"/>
            <w:vAlign w:val="center"/>
          </w:tcPr>
          <w:p>
            <w:pPr>
              <w:spacing w:after="0"/>
            </w:pPr>
            <w:r/>
            <w:r>
              <w:rPr>
                <w:b/>
                <w:i w:val="0"/>
                <w:color w:val="000000"/>
                <w:sz w:val="14"/>
                <w:highlight w:val="yellow"/>
              </w:rPr>
              <w:t xml:space="preserve">—</w:t>
            </w:r>
          </w:p>
        </w:tc>
        <w:tc>
          <w:tcPr>
            <w:tcW w:type="dxa" w:w="1776"/>
            <w:vAlign w:val="center"/>
          </w:tcPr>
          <w:p>
            <w:pPr>
              <w:spacing w:after="0"/>
            </w:pPr>
            <w:r/>
            <w:r>
              <w:rPr>
                <w:b/>
                <w:i w:val="0"/>
                <w:color w:val="000000"/>
                <w:sz w:val="14"/>
                <w:highlight w:val="yellow"/>
              </w:rPr>
              <w:t xml:space="preserve">2026-07-10</w:t>
            </w:r>
          </w:p>
        </w:tc>
        <w:tc>
          <w:tcPr>
            <w:tcW w:type="dxa" w:w="1776"/>
            <w:vAlign w:val="center"/>
          </w:tcPr>
          <w:p>
            <w:pPr>
              <w:spacing w:after="0"/>
            </w:pPr>
            <w:r/>
            <w:r>
              <w:rPr>
                <w:b/>
                <w:i w:val="0"/>
                <w:color w:val="000000"/>
                <w:sz w:val="14"/>
                <w:highlight w:val="yellow"/>
              </w:rPr>
              <w:t xml:space="preserve">Pass</w:t>
            </w:r>
          </w:p>
        </w:tc>
      </w:tr>
      <w:tr>
        <w:tc>
          <w:tcPr>
            <w:tcW w:type="dxa" w:w="1776"/>
            <w:shd w:fill="F8FBFE"/>
            <w:vAlign w:val="center"/>
          </w:tcPr>
          <w:p>
            <w:pPr>
              <w:spacing w:after="0"/>
            </w:pPr>
            <w:r/>
            <w:r>
              <w:rPr>
                <w:b/>
                <w:i w:val="0"/>
                <w:color w:val="000000"/>
                <w:sz w:val="14"/>
                <w:highlight w:val="yellow"/>
              </w:rPr>
              <w:t xml:space="preserve">—</w:t>
            </w:r>
          </w:p>
        </w:tc>
        <w:tc>
          <w:tcPr>
            <w:tcW w:type="dxa" w:w="1776"/>
            <w:shd w:fill="F8FBFE"/>
            <w:vAlign w:val="center"/>
          </w:tcPr>
          <w:p>
            <w:pPr>
              <w:spacing w:after="0"/>
            </w:pPr>
            <w:r/>
            <w:r>
              <w:rPr>
                <w:b/>
                <w:i w:val="0"/>
                <w:color w:val="000000"/>
                <w:sz w:val="14"/>
                <w:highlight w:val="yellow"/>
              </w:rPr>
              <w:t xml:space="preserve">Per approved investment operations policy and valuation records.</w:t>
            </w:r>
          </w:p>
        </w:tc>
        <w:tc>
          <w:tcPr>
            <w:tcW w:type="dxa" w:w="1776"/>
            <w:shd w:fill="F8FBFE"/>
            <w:vAlign w:val="center"/>
          </w:tcPr>
          <w:p>
            <w:pPr>
              <w:spacing w:after="0"/>
            </w:pPr>
            <w:r/>
            <w:r>
              <w:rPr>
                <w:b/>
                <w:i w:val="0"/>
                <w:color w:val="000000"/>
                <w:sz w:val="14"/>
                <w:highlight w:val="yellow"/>
              </w:rPr>
              <w:t xml:space="preserve">—</w:t>
            </w:r>
          </w:p>
        </w:tc>
        <w:tc>
          <w:tcPr>
            <w:tcW w:type="dxa" w:w="1776"/>
            <w:shd w:fill="F8FBFE"/>
            <w:vAlign w:val="center"/>
          </w:tcPr>
          <w:p>
            <w:pPr>
              <w:spacing w:after="0"/>
            </w:pPr>
            <w:r/>
            <w:r>
              <w:rPr>
                <w:b/>
                <w:i w:val="0"/>
                <w:color w:val="000000"/>
                <w:sz w:val="14"/>
                <w:highlight w:val="yellow"/>
              </w:rPr>
              <w:t xml:space="preserve">—</w:t>
            </w:r>
          </w:p>
        </w:tc>
        <w:tc>
          <w:tcPr>
            <w:tcW w:type="dxa" w:w="1776"/>
            <w:shd w:fill="F8FBFE"/>
            <w:vAlign w:val="center"/>
          </w:tcPr>
          <w:p>
            <w:pPr>
              <w:spacing w:after="0"/>
            </w:pPr>
            <w:r/>
            <w:r>
              <w:rPr>
                <w:b/>
                <w:i w:val="0"/>
                <w:color w:val="000000"/>
                <w:sz w:val="14"/>
                <w:highlight w:val="yellow"/>
              </w:rPr>
              <w:t xml:space="preserve">2026-07-10</w:t>
            </w:r>
          </w:p>
        </w:tc>
        <w:tc>
          <w:tcPr>
            <w:tcW w:type="dxa" w:w="1776"/>
            <w:shd w:fill="F8FBFE"/>
            <w:vAlign w:val="center"/>
          </w:tcPr>
          <w:p>
            <w:pPr>
              <w:spacing w:after="0"/>
            </w:pPr>
            <w:r/>
            <w:r>
              <w:rPr>
                <w:b/>
                <w:i w:val="0"/>
                <w:color w:val="000000"/>
                <w:sz w:val="14"/>
                <w:highlight w:val="yellow"/>
              </w:rPr>
              <w:t xml:space="preserve">Pass</w:t>
            </w:r>
          </w:p>
        </w:tc>
      </w:tr>
    </w:tbl>
    <w:p>
      <w:pPr>
        <w:spacing w:after="80" w:line="240" w:lineRule="auto"/>
      </w:pPr>
    </w:p>
    <w:p>
      <w:pPr>
        <w:spacing w:before="200" w:after="120" w:line="240" w:lineRule="auto"/>
        <w:pBdr>
          <w:bottom w:val="single" w:sz="8" w:space="4" w:color="1E88E5"/>
        </w:pBdr>
      </w:pPr>
      <w:r>
        <w:rPr>
          <w:b/>
          <w:color w:val="071827"/>
          <w:sz w:val="28"/>
        </w:rPr>
        <w:t>13. Supporting Documents Register</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Document / Evidence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Reference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Prepared By</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Reviewed By</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Stored in Archive?</w:t>
            </w:r>
          </w:p>
        </w:tc>
      </w:tr>
      <w:tr>
        <w:tc>
          <w:tcPr>
            <w:tcW w:type="dxa" w:w="2131"/>
            <w:shd w:fill="F8FBFE"/>
            <w:vAlign w:val="center"/>
          </w:tcPr>
          <w:p>
            <w:pPr>
              <w:spacing w:after="0"/>
            </w:pPr>
            <w:r/>
            <w:r>
              <w:rPr>
                <w:b w:val="0"/>
                <w:i w:val="0"/>
                <w:sz w:val="14"/>
              </w:rPr>
              <w:t>Approved management accounts</w:t>
            </w:r>
          </w:p>
        </w:tc>
        <w:tc>
          <w:tcPr>
            <w:tcW w:type="dxa" w:w="2131"/>
            <w:shd w:fill="F8FBFE"/>
            <w:vAlign w:val="center"/>
          </w:tcPr>
          <w:p>
            <w:pPr>
              <w:spacing w:after="0"/>
            </w:pPr>
            <w:r/>
            <w:r>
              <w:rPr>
                <w:b/>
                <w:i w:val="0"/>
                <w:color w:val="000000"/>
                <w:sz w:val="14"/>
                <w:highlight w:val="yellow"/>
              </w:rPr>
              <w:t xml:space="preserve">cmrfh75ti009fktfqnqp8c3at</w:t>
            </w:r>
          </w:p>
        </w:tc>
        <w:tc>
          <w:tcPr>
            <w:tcW w:type="dxa" w:w="2131"/>
            <w:shd w:fill="F8FBFE"/>
            <w:vAlign w:val="center"/>
          </w:tcPr>
          <w:p>
            <w:pPr>
              <w:spacing w:after="0"/>
            </w:pPr>
            <w:r/>
            <w:r>
              <w:rPr>
                <w:b/>
                <w:i w:val="0"/>
                <w:color w:val="000000"/>
                <w:sz w:val="14"/>
                <w:highlight w:val="yellow"/>
              </w:rPr>
              <w:t xml:space="preserve">0</w:t>
            </w:r>
          </w:p>
        </w:tc>
        <w:tc>
          <w:tcPr>
            <w:tcW w:type="dxa" w:w="2131"/>
            <w:shd w:fill="F8FBFE"/>
            <w:vAlign w:val="center"/>
          </w:tcPr>
          <w:p>
            <w:pPr>
              <w:spacing w:after="0"/>
            </w:pPr>
            <w:r/>
            <w:r>
              <w:rPr>
                <w:b/>
                <w:i w:val="0"/>
                <w:color w:val="000000"/>
                <w:sz w:val="14"/>
                <w:highlight w:val="yellow"/>
              </w:rPr>
              <w:t xml:space="preserve">0</w:t>
            </w:r>
          </w:p>
        </w:tc>
        <w:tc>
          <w:tcPr>
            <w:tcW w:type="dxa" w:w="2131"/>
            <w:shd w:fill="F8FBFE"/>
            <w:vAlign w:val="center"/>
          </w:tcPr>
          <w:p>
            <w:pPr>
              <w:spacing w:after="0"/>
            </w:pPr>
            <w:r/>
            <w:r>
              <w:rPr>
                <w:b/>
                <w:i w:val="0"/>
                <w:color w:val="000000"/>
                <w:sz w:val="14"/>
                <w:highlight w:val="yellow"/>
              </w:rPr>
              <w:t xml:space="preserve">No</w:t>
            </w:r>
          </w:p>
        </w:tc>
      </w:tr>
      <w:tr>
        <w:tc>
          <w:tcPr>
            <w:tcW w:type="dxa" w:w="2131"/>
            <w:vAlign w:val="center"/>
          </w:tcPr>
          <w:p>
            <w:pPr>
              <w:spacing w:after="0"/>
            </w:pPr>
            <w:r/>
            <w:r>
              <w:rPr>
                <w:b w:val="0"/>
                <w:i w:val="0"/>
                <w:sz w:val="14"/>
              </w:rPr>
              <w:t>Trial balance / ledger extract</w:t>
            </w:r>
          </w:p>
        </w:tc>
        <w:tc>
          <w:tcPr>
            <w:tcW w:type="dxa" w:w="2131"/>
            <w:vAlign w:val="center"/>
          </w:tcPr>
          <w:p>
            <w:pPr>
              <w:spacing w:after="0"/>
            </w:pPr>
            <w:r/>
            <w:r>
              <w:rPr>
                <w:b/>
                <w:i w:val="0"/>
                <w:color w:val="000000"/>
                <w:sz w:val="14"/>
                <w:highlight w:val="yellow"/>
              </w:rPr>
              <w:t xml:space="preserve">cmrfh75ti009fktfqnqp8c3at</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No</w:t>
            </w:r>
          </w:p>
        </w:tc>
      </w:tr>
      <w:tr>
        <w:tc>
          <w:tcPr>
            <w:tcW w:type="dxa" w:w="2131"/>
            <w:shd w:fill="F8FBFE"/>
            <w:vAlign w:val="center"/>
          </w:tcPr>
          <w:p>
            <w:pPr>
              <w:spacing w:after="0"/>
            </w:pPr>
            <w:r/>
            <w:r>
              <w:rPr>
                <w:b w:val="0"/>
                <w:i w:val="0"/>
                <w:sz w:val="14"/>
              </w:rPr>
              <w:t>Bank statements and reconciliations</w:t>
            </w:r>
          </w:p>
        </w:tc>
        <w:tc>
          <w:tcPr>
            <w:tcW w:type="dxa" w:w="2131"/>
            <w:shd w:fill="F8FBFE"/>
            <w:vAlign w:val="center"/>
          </w:tcPr>
          <w:p>
            <w:pPr>
              <w:spacing w:after="0"/>
            </w:pPr>
            <w:r/>
            <w:r>
              <w:rPr>
                <w:b/>
                <w:i w:val="0"/>
                <w:color w:val="000000"/>
                <w:sz w:val="14"/>
                <w:highlight w:val="yellow"/>
              </w:rPr>
              <w:t xml:space="preserve">cmrfh75ti009fktfqnqp8c3at</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No</w:t>
            </w:r>
          </w:p>
        </w:tc>
      </w:tr>
      <w:tr>
        <w:tc>
          <w:tcPr>
            <w:tcW w:type="dxa" w:w="2131"/>
            <w:vAlign w:val="center"/>
          </w:tcPr>
          <w:p>
            <w:pPr>
              <w:spacing w:after="0"/>
            </w:pPr>
            <w:r/>
            <w:r>
              <w:rPr>
                <w:b w:val="0"/>
                <w:i w:val="0"/>
                <w:sz w:val="14"/>
              </w:rPr>
              <w:t>Portfolio valuation report</w:t>
            </w:r>
          </w:p>
        </w:tc>
        <w:tc>
          <w:tcPr>
            <w:tcW w:type="dxa" w:w="2131"/>
            <w:vAlign w:val="center"/>
          </w:tcPr>
          <w:p>
            <w:pPr>
              <w:spacing w:after="0"/>
            </w:pPr>
            <w:r/>
            <w:r>
              <w:rPr>
                <w:b/>
                <w:i w:val="0"/>
                <w:color w:val="000000"/>
                <w:sz w:val="14"/>
                <w:highlight w:val="yellow"/>
              </w:rPr>
              <w:t xml:space="preserve">cmrfh75ti009fktfqnqp8c3at</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No</w:t>
            </w:r>
          </w:p>
        </w:tc>
      </w:tr>
      <w:tr>
        <w:tc>
          <w:tcPr>
            <w:tcW w:type="dxa" w:w="2131"/>
            <w:shd w:fill="F8FBFE"/>
            <w:vAlign w:val="center"/>
          </w:tcPr>
          <w:p>
            <w:pPr>
              <w:spacing w:after="0"/>
            </w:pPr>
            <w:r/>
            <w:r>
              <w:rPr>
                <w:b w:val="0"/>
                <w:i w:val="0"/>
                <w:sz w:val="14"/>
              </w:rPr>
              <w:t>FUM / AUM movement report</w:t>
            </w:r>
          </w:p>
        </w:tc>
        <w:tc>
          <w:tcPr>
            <w:tcW w:type="dxa" w:w="2131"/>
            <w:shd w:fill="F8FBFE"/>
            <w:vAlign w:val="center"/>
          </w:tcPr>
          <w:p>
            <w:pPr>
              <w:spacing w:after="0"/>
            </w:pPr>
            <w:r/>
            <w:r>
              <w:rPr>
                <w:b/>
                <w:i w:val="0"/>
                <w:color w:val="000000"/>
                <w:sz w:val="14"/>
                <w:highlight w:val="yellow"/>
              </w:rPr>
              <w:t xml:space="preserve">USD 0.00</w:t>
            </w:r>
          </w:p>
        </w:tc>
        <w:tc>
          <w:tcPr>
            <w:tcW w:type="dxa" w:w="2131"/>
            <w:shd w:fill="F8FBFE"/>
            <w:vAlign w:val="center"/>
          </w:tcPr>
          <w:p>
            <w:pPr>
              <w:spacing w:after="0"/>
            </w:pPr>
            <w:r/>
            <w:r>
              <w:rPr>
                <w:b/>
                <w:i w:val="0"/>
                <w:color w:val="000000"/>
                <w:sz w:val="14"/>
                <w:highlight w:val="yellow"/>
              </w:rPr>
              <w:t xml:space="preserve">USD 0.00</w:t>
            </w:r>
          </w:p>
        </w:tc>
        <w:tc>
          <w:tcPr>
            <w:tcW w:type="dxa" w:w="2131"/>
            <w:shd w:fill="F8FBFE"/>
            <w:vAlign w:val="center"/>
          </w:tcPr>
          <w:p>
            <w:pPr>
              <w:spacing w:after="0"/>
            </w:pPr>
            <w:r/>
            <w:r>
              <w:rPr>
                <w:b/>
                <w:i w:val="0"/>
                <w:color w:val="000000"/>
                <w:sz w:val="14"/>
                <w:highlight w:val="yellow"/>
              </w:rPr>
              <w:t xml:space="preserve">USD 0.00</w:t>
            </w:r>
          </w:p>
        </w:tc>
        <w:tc>
          <w:tcPr>
            <w:tcW w:type="dxa" w:w="2131"/>
            <w:shd w:fill="F8FBFE"/>
            <w:vAlign w:val="center"/>
          </w:tcPr>
          <w:p>
            <w:pPr>
              <w:spacing w:after="0"/>
            </w:pPr>
            <w:r/>
            <w:r>
              <w:rPr>
                <w:b/>
                <w:i w:val="0"/>
                <w:color w:val="000000"/>
                <w:sz w:val="14"/>
                <w:highlight w:val="yellow"/>
              </w:rPr>
              <w:t xml:space="preserve">No</w:t>
            </w:r>
          </w:p>
        </w:tc>
      </w:tr>
      <w:tr>
        <w:tc>
          <w:tcPr>
            <w:tcW w:type="dxa" w:w="2131"/>
            <w:vAlign w:val="center"/>
          </w:tcPr>
          <w:p>
            <w:pPr>
              <w:spacing w:after="0"/>
            </w:pPr>
            <w:r/>
            <w:r>
              <w:rPr>
                <w:b w:val="0"/>
                <w:i w:val="0"/>
                <w:sz w:val="14"/>
              </w:rPr>
              <w:t>Receivables and payables ageing</w:t>
            </w:r>
          </w:p>
        </w:tc>
        <w:tc>
          <w:tcPr>
            <w:tcW w:type="dxa" w:w="2131"/>
            <w:vAlign w:val="center"/>
          </w:tcPr>
          <w:p>
            <w:pPr>
              <w:spacing w:after="0"/>
            </w:pPr>
            <w:r/>
            <w:r>
              <w:rPr>
                <w:b/>
                <w:i w:val="0"/>
                <w:color w:val="000000"/>
                <w:sz w:val="14"/>
                <w:highlight w:val="yellow"/>
              </w:rPr>
              <w:t xml:space="preserve">cmrfh75ti009fktfqnqp8c3at</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No</w:t>
            </w:r>
          </w:p>
        </w:tc>
      </w:tr>
      <w:tr>
        <w:tc>
          <w:tcPr>
            <w:tcW w:type="dxa" w:w="2131"/>
            <w:shd w:fill="F8FBFE"/>
            <w:vAlign w:val="center"/>
          </w:tcPr>
          <w:p>
            <w:pPr>
              <w:spacing w:after="0"/>
            </w:pPr>
            <w:r/>
            <w:r>
              <w:rPr>
                <w:b w:val="0"/>
                <w:i w:val="0"/>
                <w:sz w:val="14"/>
              </w:rPr>
              <w:t>Liquidity schedule</w:t>
            </w:r>
          </w:p>
        </w:tc>
        <w:tc>
          <w:tcPr>
            <w:tcW w:type="dxa" w:w="2131"/>
            <w:shd w:fill="F8FBFE"/>
            <w:vAlign w:val="center"/>
          </w:tcPr>
          <w:p>
            <w:pPr>
              <w:spacing w:after="0"/>
            </w:pPr>
            <w:r/>
            <w:r>
              <w:rPr>
                <w:b/>
                <w:i w:val="0"/>
                <w:color w:val="000000"/>
                <w:sz w:val="14"/>
                <w:highlight w:val="yellow"/>
              </w:rPr>
              <w:t xml:space="preserve">cmrfh75ti009fktfqnqp8c3at</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w:t>
            </w:r>
          </w:p>
        </w:tc>
        <w:tc>
          <w:tcPr>
            <w:tcW w:type="dxa" w:w="2131"/>
            <w:shd w:fill="F8FBFE"/>
            <w:vAlign w:val="center"/>
          </w:tcPr>
          <w:p>
            <w:pPr>
              <w:spacing w:after="0"/>
            </w:pPr>
            <w:r/>
            <w:r>
              <w:rPr>
                <w:b/>
                <w:i w:val="0"/>
                <w:color w:val="000000"/>
                <w:sz w:val="14"/>
                <w:highlight w:val="yellow"/>
              </w:rPr>
              <w:t xml:space="preserve">No</w:t>
            </w:r>
          </w:p>
        </w:tc>
      </w:tr>
      <w:tr>
        <w:tc>
          <w:tcPr>
            <w:tcW w:type="dxa" w:w="2131"/>
            <w:vAlign w:val="center"/>
          </w:tcPr>
          <w:p>
            <w:pPr>
              <w:spacing w:after="0"/>
            </w:pPr>
            <w:r/>
            <w:r>
              <w:rPr>
                <w:b w:val="0"/>
                <w:i w:val="0"/>
                <w:sz w:val="14"/>
              </w:rPr>
              <w:t>Board / management capital action record</w:t>
            </w:r>
          </w:p>
        </w:tc>
        <w:tc>
          <w:tcPr>
            <w:tcW w:type="dxa" w:w="2131"/>
            <w:vAlign w:val="center"/>
          </w:tcPr>
          <w:p>
            <w:pPr>
              <w:spacing w:after="0"/>
            </w:pPr>
            <w:r/>
            <w:r>
              <w:rPr>
                <w:b/>
                <w:i w:val="0"/>
                <w:color w:val="000000"/>
                <w:sz w:val="14"/>
                <w:highlight w:val="yellow"/>
              </w:rPr>
              <w:t xml:space="preserve">cmrfh75ti009fktfqnqp8c3at</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w:t>
            </w:r>
          </w:p>
        </w:tc>
        <w:tc>
          <w:tcPr>
            <w:tcW w:type="dxa" w:w="2131"/>
            <w:vAlign w:val="center"/>
          </w:tcPr>
          <w:p>
            <w:pPr>
              <w:spacing w:after="0"/>
            </w:pPr>
            <w:r/>
            <w:r>
              <w:rPr>
                <w:b/>
                <w:i w:val="0"/>
                <w:color w:val="000000"/>
                <w:sz w:val="14"/>
                <w:highlight w:val="yellow"/>
              </w:rPr>
              <w:t xml:space="preserve">No</w:t>
            </w:r>
          </w:p>
        </w:tc>
      </w:tr>
    </w:tbl>
    <w:p>
      <w:pPr>
        <w:spacing w:after="80" w:line="240" w:lineRule="auto"/>
      </w:pPr>
    </w:p>
    <w:p>
      <w:pPr>
        <w:spacing w:before="200" w:after="120" w:line="240" w:lineRule="auto"/>
        <w:pBdr>
          <w:bottom w:val="single" w:sz="8" w:space="4" w:color="1E88E5"/>
        </w:pBdr>
      </w:pPr>
      <w:r>
        <w:rPr>
          <w:b/>
          <w:color w:val="071827"/>
          <w:sz w:val="28"/>
        </w:rPr>
        <w:t>14. Approval, Certification and Submission Controls</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Complete these approval blocks only after the capital adequacy schedules have been reconciled to the approved trial balance, management accounts and regulatory return pack. Maker and checker must not be the same user.</w:t>
            </w:r>
          </w:p>
        </w:tc>
      </w:tr>
    </w:tbl>
    <w:p>
      <w:pPr>
        <w:spacing w:after="40" w:line="240" w:lineRule="auto"/>
      </w:pP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Role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Name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Designation</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Date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Signature / System Approval</w:t>
            </w:r>
          </w:p>
        </w:tc>
      </w:tr>
      <w:tr>
        <w:tc>
          <w:tcPr>
            <w:tcW w:type="dxa" w:w="2131"/>
            <w:shd w:fill="F8FBFE"/>
            <w:vAlign w:val="center"/>
          </w:tcPr>
          <w:p>
            <w:pPr>
              <w:spacing w:after="0"/>
            </w:pPr>
            <w:r/>
            <w:r>
              <w:rPr>
                <w:b w:val="0"/>
                <w:i w:val="0"/>
                <w:sz w:val="15"/>
              </w:rPr>
              <w:t>Prepared by - Maker</w:t>
            </w:r>
          </w:p>
        </w:tc>
        <w:tc>
          <w:tcPr>
            <w:tcW w:type="dxa" w:w="2131"/>
            <w:shd w:fill="F8FBFE"/>
            <w:vAlign w:val="center"/>
          </w:tcPr>
          <w:p>
            <w:pPr>
              <w:spacing w:after="0"/>
            </w:pPr>
            <w:r/>
            <w:r>
              <w:rPr>
                <w:b/>
                <w:i w:val="0"/>
                <w:color w:val="000000"/>
                <w:sz w:val="15"/>
                <w:highlight w:val="yellow"/>
              </w:rPr>
              <w:t xml:space="preserve">Admin User</w:t>
            </w:r>
          </w:p>
        </w:tc>
        <w:tc>
          <w:tcPr>
            <w:tcW w:type="dxa" w:w="2131"/>
            <w:shd w:fill="F8FBFE"/>
            <w:vAlign w:val="center"/>
          </w:tcPr>
          <w:p>
            <w:pPr>
              <w:spacing w:after="0"/>
            </w:pPr>
            <w:r/>
            <w:r>
              <w:rPr>
                <w:b/>
                <w:i w:val="0"/>
                <w:color w:val="000000"/>
                <w:sz w:val="15"/>
                <w:highlight w:val="yellow"/>
              </w:rPr>
              <w:t xml:space="preserve">Investment Operations</w:t>
            </w:r>
          </w:p>
        </w:tc>
        <w:tc>
          <w:tcPr>
            <w:tcW w:type="dxa" w:w="2131"/>
            <w:shd w:fill="F8FBFE"/>
            <w:vAlign w:val="center"/>
          </w:tcPr>
          <w:p>
            <w:pPr>
              <w:spacing w:after="0"/>
            </w:pPr>
            <w:r/>
            <w:r>
              <w:rPr>
                <w:b/>
                <w:i w:val="0"/>
                <w:color w:val="000000"/>
                <w:sz w:val="15"/>
                <w:highlight w:val="yellow"/>
              </w:rPr>
              <w:t xml:space="preserve">2026-07-10</w:t>
            </w:r>
          </w:p>
        </w:tc>
        <w:tc>
          <w:tcPr>
            <w:tcW w:type="dxa" w:w="2131"/>
            <w:shd w:fill="F8FBFE"/>
            <w:vAlign w:val="center"/>
          </w:tcPr>
          <w:p>
            <w:pPr>
              <w:spacing w:after="0"/>
            </w:pPr>
            <w:r/>
            <w:r>
              <w:rPr>
                <w:b/>
                <w:i w:val="0"/>
                <w:color w:val="000000"/>
                <w:sz w:val="15"/>
                <w:highlight w:val="yellow"/>
              </w:rPr>
              <w:t xml:space="preserve">Admin User</w:t>
            </w:r>
          </w:p>
        </w:tc>
      </w:tr>
      <w:tr>
        <w:tc>
          <w:tcPr>
            <w:tcW w:type="dxa" w:w="2131"/>
            <w:vAlign w:val="center"/>
          </w:tcPr>
          <w:p>
            <w:pPr>
              <w:spacing w:after="0"/>
            </w:pPr>
            <w:r/>
            <w:r>
              <w:rPr>
                <w:b w:val="0"/>
                <w:i w:val="0"/>
                <w:sz w:val="15"/>
              </w:rPr>
              <w:t>Reviewed by - Finance / Operations</w:t>
            </w:r>
          </w:p>
        </w:tc>
        <w:tc>
          <w:tcPr>
            <w:tcW w:type="dxa" w:w="2131"/>
            <w:vAlign w:val="center"/>
          </w:tcPr>
          <w:p>
            <w:pPr>
              <w:spacing w:after="0"/>
            </w:pPr>
            <w:r/>
            <w:r>
              <w:rPr>
                <w:b/>
                <w:i w:val="0"/>
                <w:color w:val="000000"/>
                <w:sz w:val="15"/>
                <w:highlight w:val="yellow"/>
              </w:rPr>
              <w:t xml:space="preserve">Admin User</w:t>
            </w:r>
          </w:p>
        </w:tc>
        <w:tc>
          <w:tcPr>
            <w:tcW w:type="dxa" w:w="2131"/>
            <w:vAlign w:val="center"/>
          </w:tcPr>
          <w:p>
            <w:pPr>
              <w:spacing w:after="0"/>
            </w:pPr>
            <w:r/>
            <w:r>
              <w:rPr>
                <w:b/>
                <w:i w:val="0"/>
                <w:color w:val="000000"/>
                <w:sz w:val="15"/>
                <w:highlight w:val="yellow"/>
              </w:rPr>
              <w:t xml:space="preserve">Admin User</w:t>
            </w:r>
          </w:p>
        </w:tc>
        <w:tc>
          <w:tcPr>
            <w:tcW w:type="dxa" w:w="2131"/>
            <w:vAlign w:val="center"/>
          </w:tcPr>
          <w:p>
            <w:pPr>
              <w:spacing w:after="0"/>
            </w:pPr>
            <w:r/>
            <w:r>
              <w:rPr>
                <w:b/>
                <w:i w:val="0"/>
                <w:color w:val="000000"/>
                <w:sz w:val="15"/>
                <w:highlight w:val="yellow"/>
              </w:rPr>
              <w:t xml:space="preserve">2026-07-10</w:t>
            </w:r>
          </w:p>
        </w:tc>
        <w:tc>
          <w:tcPr>
            <w:tcW w:type="dxa" w:w="2131"/>
            <w:vAlign w:val="center"/>
          </w:tcPr>
          <w:p>
            <w:pPr>
              <w:spacing w:after="0"/>
            </w:pPr>
            <w:r/>
            <w:r>
              <w:rPr>
                <w:b/>
                <w:i w:val="0"/>
                <w:color w:val="000000"/>
                <w:sz w:val="15"/>
                <w:highlight w:val="yellow"/>
              </w:rPr>
              <w:t xml:space="preserve">Admin User</w:t>
            </w:r>
          </w:p>
        </w:tc>
      </w:tr>
      <w:tr>
        <w:tc>
          <w:tcPr>
            <w:tcW w:type="dxa" w:w="2131"/>
            <w:shd w:fill="F8FBFE"/>
            <w:vAlign w:val="center"/>
          </w:tcPr>
          <w:p>
            <w:pPr>
              <w:spacing w:after="0"/>
            </w:pPr>
            <w:r/>
            <w:r>
              <w:rPr>
                <w:b w:val="0"/>
                <w:i w:val="0"/>
                <w:sz w:val="15"/>
              </w:rPr>
              <w:t>Reviewed by - Compliance Officer</w:t>
            </w:r>
          </w:p>
        </w:tc>
        <w:tc>
          <w:tcPr>
            <w:tcW w:type="dxa" w:w="2131"/>
            <w:shd w:fill="F8FBFE"/>
            <w:vAlign w:val="center"/>
          </w:tcPr>
          <w:p>
            <w:pPr>
              <w:spacing w:after="0"/>
            </w:pPr>
            <w:r/>
            <w:r>
              <w:rPr>
                <w:b/>
                <w:i w:val="0"/>
                <w:color w:val="000000"/>
                <w:sz w:val="15"/>
                <w:highlight w:val="yellow"/>
              </w:rPr>
              <w:t xml:space="preserve">Admin User</w:t>
            </w:r>
          </w:p>
        </w:tc>
        <w:tc>
          <w:tcPr>
            <w:tcW w:type="dxa" w:w="2131"/>
            <w:shd w:fill="F8FBFE"/>
            <w:vAlign w:val="center"/>
          </w:tcPr>
          <w:p>
            <w:pPr>
              <w:spacing w:after="0"/>
            </w:pPr>
            <w:r/>
            <w:r>
              <w:rPr>
                <w:b/>
                <w:i w:val="0"/>
                <w:color w:val="000000"/>
                <w:sz w:val="15"/>
                <w:highlight w:val="yellow"/>
              </w:rPr>
              <w:t xml:space="preserve">Admin User</w:t>
            </w:r>
          </w:p>
        </w:tc>
        <w:tc>
          <w:tcPr>
            <w:tcW w:type="dxa" w:w="2131"/>
            <w:shd w:fill="F8FBFE"/>
            <w:vAlign w:val="center"/>
          </w:tcPr>
          <w:p>
            <w:pPr>
              <w:spacing w:after="0"/>
            </w:pPr>
            <w:r/>
            <w:r>
              <w:rPr>
                <w:b/>
                <w:i w:val="0"/>
                <w:color w:val="000000"/>
                <w:sz w:val="15"/>
                <w:highlight w:val="yellow"/>
              </w:rPr>
              <w:t xml:space="preserve">2026-07-10</w:t>
            </w:r>
          </w:p>
        </w:tc>
        <w:tc>
          <w:tcPr>
            <w:tcW w:type="dxa" w:w="2131"/>
            <w:shd w:fill="F8FBFE"/>
            <w:vAlign w:val="center"/>
          </w:tcPr>
          <w:p>
            <w:pPr>
              <w:spacing w:after="0"/>
            </w:pPr>
            <w:r/>
            <w:r>
              <w:rPr>
                <w:b/>
                <w:i w:val="0"/>
                <w:color w:val="000000"/>
                <w:sz w:val="15"/>
                <w:highlight w:val="yellow"/>
              </w:rPr>
              <w:t xml:space="preserve">Admin User</w:t>
            </w:r>
          </w:p>
        </w:tc>
      </w:tr>
      <w:tr>
        <w:tc>
          <w:tcPr>
            <w:tcW w:type="dxa" w:w="2131"/>
            <w:vAlign w:val="center"/>
          </w:tcPr>
          <w:p>
            <w:pPr>
              <w:spacing w:after="0"/>
            </w:pPr>
            <w:r/>
            <w:r>
              <w:rPr>
                <w:b w:val="0"/>
                <w:i w:val="0"/>
                <w:sz w:val="15"/>
              </w:rPr>
              <w:t>Approved by - Authorised Officer</w:t>
            </w:r>
          </w:p>
        </w:tc>
        <w:tc>
          <w:tcPr>
            <w:tcW w:type="dxa" w:w="2131"/>
            <w:vAlign w:val="center"/>
          </w:tcPr>
          <w:p>
            <w:pPr>
              <w:spacing w:after="0"/>
            </w:pPr>
            <w:r/>
            <w:r>
              <w:rPr>
                <w:b/>
                <w:i w:val="0"/>
                <w:color w:val="000000"/>
                <w:sz w:val="15"/>
                <w:highlight w:val="yellow"/>
              </w:rPr>
              <w:t xml:space="preserve">Admin User</w:t>
            </w:r>
          </w:p>
        </w:tc>
        <w:tc>
          <w:tcPr>
            <w:tcW w:type="dxa" w:w="2131"/>
            <w:vAlign w:val="center"/>
          </w:tcPr>
          <w:p>
            <w:pPr>
              <w:spacing w:after="0"/>
            </w:pPr>
            <w:r/>
            <w:r>
              <w:rPr>
                <w:b/>
                <w:i w:val="0"/>
                <w:color w:val="000000"/>
                <w:sz w:val="15"/>
                <w:highlight w:val="yellow"/>
              </w:rPr>
              <w:t xml:space="preserve">Admin User</w:t>
            </w:r>
          </w:p>
        </w:tc>
        <w:tc>
          <w:tcPr>
            <w:tcW w:type="dxa" w:w="2131"/>
            <w:vAlign w:val="center"/>
          </w:tcPr>
          <w:p>
            <w:pPr>
              <w:spacing w:after="0"/>
            </w:pPr>
            <w:r/>
            <w:r>
              <w:rPr>
                <w:b/>
                <w:i w:val="0"/>
                <w:color w:val="000000"/>
                <w:sz w:val="15"/>
                <w:highlight w:val="yellow"/>
              </w:rPr>
              <w:t xml:space="preserve">2026-07-10</w:t>
            </w:r>
          </w:p>
        </w:tc>
        <w:tc>
          <w:tcPr>
            <w:tcW w:type="dxa" w:w="2131"/>
            <w:vAlign w:val="center"/>
          </w:tcPr>
          <w:p>
            <w:pPr>
              <w:spacing w:after="0"/>
            </w:pPr>
            <w:r/>
            <w:r>
              <w:rPr>
                <w:b/>
                <w:i w:val="0"/>
                <w:color w:val="000000"/>
                <w:sz w:val="15"/>
                <w:highlight w:val="yellow"/>
              </w:rPr>
              <w:t xml:space="preserve">Admin User</w:t>
            </w:r>
          </w:p>
        </w:tc>
      </w:tr>
    </w:tbl>
    <w:p>
      <w:pPr>
        <w:spacing w:after="80" w:line="240" w:lineRule="auto"/>
      </w:pPr>
    </w:p>
    <w:p>
      <w:pPr>
        <w:spacing w:after="120" w:line="240" w:lineRule="auto"/>
      </w:pPr>
      <w:r>
        <w:rPr>
          <w:b w:val="0"/>
          <w:i w:val="0"/>
          <w:sz w:val="17"/>
        </w:rPr>
        <w:t xml:space="preserve">Management certification: Based on the records available to management and subject to the assumptions, exclusions and reconciliation notes disclosed in this pack, the capital adequacy calculation has been prepared from the approved accounting and portfolio records of </w:t>
      </w:r>
      <w:r>
        <w:rPr>
          <w:b/>
          <w:i w:val="0"/>
          <w:color w:val="000000"/>
          <w:sz w:val="17"/>
          <w:highlight w:val="yellow"/>
        </w:rPr>
        <w:t xml:space="preserve">Admin User</w:t>
      </w:r>
      <w:r>
        <w:rPr>
          <w:b w:val="0"/>
          <w:i w:val="0"/>
          <w:sz w:val="17"/>
        </w:rPr>
        <w:t xml:space="preserve"> for the period ended </w:t>
      </w:r>
      <w:r>
        <w:rPr>
          <w:b/>
          <w:i w:val="0"/>
          <w:color w:val="000000"/>
          <w:sz w:val="17"/>
          <w:highlight w:val="yellow"/>
        </w:rPr>
        <w:t xml:space="preserve">2026-03-31</w:t>
      </w:r>
      <w:r>
        <w:rPr>
          <w:b w:val="0"/>
          <w:i w:val="0"/>
          <w:sz w:val="17"/>
        </w:rPr>
        <w:t>.</w:t>
      </w:r>
    </w:p>
    <w:p>
      <w:pPr>
        <w:spacing w:before="200" w:after="120" w:line="240" w:lineRule="auto"/>
        <w:pBdr>
          <w:bottom w:val="single" w:sz="8" w:space="4" w:color="1E88E5"/>
        </w:pBdr>
      </w:pPr>
      <w:r>
        <w:rPr>
          <w:b/>
          <w:color w:val="071827"/>
          <w:sz w:val="28"/>
        </w:rPr>
        <w:t>15. Arcus System Audit Details</w:t>
      </w:r>
    </w:p>
    <w:tbl>
      <w:tblPr>
        <w:tblW w:type="auto" w:w="0"/>
        <w:jc w:val="center"/>
        <w:tblLayout w:type="autofit"/>
        <w:tblLook w:firstColumn="1" w:firstRow="1" w:lastColumn="0" w:lastRow="0" w:noHBand="0" w:noVBand="1" w:val="04A0"/>
      </w:tblPr>
      <w:tblGrid>
        <w:gridCol w:w="5328"/>
        <w:gridCol w:w="5328"/>
      </w:tblGrid>
      <w:tr>
        <w:trPr>
          <w:tblHeader w:val="true"/>
        </w:trPr>
        <w:tc>
          <w:tcPr>
            <w:tcW w:type="dxa" w:w="5328"/>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Control Field</w:t>
            </w:r>
          </w:p>
        </w:tc>
        <w:tc>
          <w:tcPr>
            <w:tcW w:type="dxa" w:w="5328"/>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System Value</w:t>
            </w:r>
          </w:p>
        </w:tc>
      </w:tr>
      <w:tr>
        <w:tc>
          <w:tcPr>
            <w:tcW w:type="dxa" w:w="5328"/>
            <w:shd w:fill="F8FBFE"/>
            <w:vAlign w:val="center"/>
          </w:tcPr>
          <w:p>
            <w:pPr>
              <w:spacing w:after="0"/>
            </w:pPr>
            <w:r/>
            <w:r>
              <w:rPr>
                <w:b w:val="0"/>
                <w:i w:val="0"/>
                <w:sz w:val="15"/>
              </w:rPr>
              <w:t>Report Run ID</w:t>
            </w:r>
          </w:p>
        </w:tc>
        <w:tc>
          <w:tcPr>
            <w:tcW w:type="dxa" w:w="5328"/>
            <w:shd w:fill="F8FBFE"/>
            <w:vAlign w:val="center"/>
          </w:tcPr>
          <w:p>
            <w:pPr>
              <w:spacing w:after="0"/>
            </w:pPr>
            <w:r/>
            <w:r>
              <w:rPr>
                <w:b/>
                <w:i w:val="0"/>
                <w:color w:val="000000"/>
                <w:sz w:val="15"/>
                <w:highlight w:val="yellow"/>
              </w:rPr>
              <w:t xml:space="preserve">cmrfh75ti009fktfqnqp8c3at</w:t>
            </w:r>
          </w:p>
        </w:tc>
      </w:tr>
      <w:tr>
        <w:tc>
          <w:tcPr>
            <w:tcW w:type="dxa" w:w="5328"/>
            <w:vAlign w:val="center"/>
          </w:tcPr>
          <w:p>
            <w:pPr>
              <w:spacing w:after="0"/>
            </w:pPr>
            <w:r/>
            <w:r>
              <w:rPr>
                <w:b w:val="0"/>
                <w:i w:val="0"/>
                <w:sz w:val="15"/>
              </w:rPr>
              <w:t>Generated Report ID</w:t>
            </w:r>
          </w:p>
        </w:tc>
        <w:tc>
          <w:tcPr>
            <w:tcW w:type="dxa" w:w="5328"/>
            <w:vAlign w:val="center"/>
          </w:tcPr>
          <w:p>
            <w:pPr>
              <w:spacing w:after="0"/>
            </w:pPr>
            <w:r/>
            <w:r>
              <w:rPr>
                <w:b/>
                <w:i w:val="0"/>
                <w:color w:val="000000"/>
                <w:sz w:val="15"/>
                <w:highlight w:val="yellow"/>
              </w:rPr>
              <w:t xml:space="preserve">cmrfh75ti009fktfqnqp8c3at</w:t>
            </w:r>
          </w:p>
        </w:tc>
      </w:tr>
      <w:tr>
        <w:tc>
          <w:tcPr>
            <w:tcW w:type="dxa" w:w="5328"/>
            <w:shd w:fill="F8FBFE"/>
            <w:vAlign w:val="center"/>
          </w:tcPr>
          <w:p>
            <w:pPr>
              <w:spacing w:after="0"/>
            </w:pPr>
            <w:r/>
            <w:r>
              <w:rPr>
                <w:b w:val="0"/>
                <w:i w:val="0"/>
                <w:sz w:val="15"/>
              </w:rPr>
              <w:t>Source Data Snapshot ID</w:t>
            </w:r>
          </w:p>
        </w:tc>
        <w:tc>
          <w:tcPr>
            <w:tcW w:type="dxa" w:w="5328"/>
            <w:shd w:fill="F8FBFE"/>
            <w:vAlign w:val="center"/>
          </w:tcPr>
          <w:p>
            <w:pPr>
              <w:spacing w:after="0"/>
            </w:pPr>
            <w:r/>
            <w:r>
              <w:rPr>
                <w:b/>
                <w:i w:val="0"/>
                <w:color w:val="000000"/>
                <w:sz w:val="15"/>
                <w:highlight w:val="yellow"/>
              </w:rPr>
              <w:t xml:space="preserve">cmrfh5qik005yktfqpl41uqv7</w:t>
            </w:r>
          </w:p>
        </w:tc>
      </w:tr>
      <w:tr>
        <w:tc>
          <w:tcPr>
            <w:tcW w:type="dxa" w:w="5328"/>
            <w:vAlign w:val="center"/>
          </w:tcPr>
          <w:p>
            <w:pPr>
              <w:spacing w:after="0"/>
            </w:pPr>
            <w:r/>
            <w:r>
              <w:rPr>
                <w:b w:val="0"/>
                <w:i w:val="0"/>
                <w:sz w:val="15"/>
              </w:rPr>
              <w:t>Generated By</w:t>
            </w:r>
          </w:p>
        </w:tc>
        <w:tc>
          <w:tcPr>
            <w:tcW w:type="dxa" w:w="5328"/>
            <w:vAlign w:val="center"/>
          </w:tcPr>
          <w:p>
            <w:pPr>
              <w:spacing w:after="0"/>
            </w:pPr>
            <w:r/>
            <w:r>
              <w:rPr>
                <w:b/>
                <w:i w:val="0"/>
                <w:color w:val="000000"/>
                <w:sz w:val="15"/>
                <w:highlight w:val="yellow"/>
              </w:rPr>
              <w:t xml:space="preserve">Admin User</w:t>
            </w:r>
          </w:p>
        </w:tc>
      </w:tr>
      <w:tr>
        <w:tc>
          <w:tcPr>
            <w:tcW w:type="dxa" w:w="5328"/>
            <w:shd w:fill="F8FBFE"/>
            <w:vAlign w:val="center"/>
          </w:tcPr>
          <w:p>
            <w:pPr>
              <w:spacing w:after="0"/>
            </w:pPr>
            <w:r/>
            <w:r>
              <w:rPr>
                <w:b w:val="0"/>
                <w:i w:val="0"/>
                <w:sz w:val="15"/>
              </w:rPr>
              <w:t>Generated Date and Time</w:t>
            </w:r>
          </w:p>
        </w:tc>
        <w:tc>
          <w:tcPr>
            <w:tcW w:type="dxa" w:w="5328"/>
            <w:shd w:fill="F8FBFE"/>
            <w:vAlign w:val="center"/>
          </w:tcPr>
          <w:p>
            <w:pPr>
              <w:spacing w:after="0"/>
            </w:pPr>
            <w:r/>
            <w:r>
              <w:rPr>
                <w:b/>
                <w:i w:val="0"/>
                <w:color w:val="000000"/>
                <w:sz w:val="15"/>
                <w:highlight w:val="yellow"/>
              </w:rPr>
              <w:t xml:space="preserve">2026-07-10T21:56:53.435Z</w:t>
            </w:r>
          </w:p>
        </w:tc>
      </w:tr>
      <w:tr>
        <w:tc>
          <w:tcPr>
            <w:tcW w:type="dxa" w:w="5328"/>
            <w:vAlign w:val="center"/>
          </w:tcPr>
          <w:p>
            <w:pPr>
              <w:spacing w:after="0"/>
            </w:pPr>
            <w:r/>
            <w:r>
              <w:rPr>
                <w:b w:val="0"/>
                <w:i w:val="0"/>
                <w:sz w:val="15"/>
              </w:rPr>
              <w:t>Checker Approval ID</w:t>
            </w:r>
          </w:p>
        </w:tc>
        <w:tc>
          <w:tcPr>
            <w:tcW w:type="dxa" w:w="5328"/>
            <w:vAlign w:val="center"/>
          </w:tcPr>
          <w:p>
            <w:pPr>
              <w:spacing w:after="0"/>
            </w:pPr>
            <w:r/>
            <w:r>
              <w:rPr>
                <w:b/>
                <w:i w:val="0"/>
                <w:color w:val="000000"/>
                <w:sz w:val="15"/>
                <w:highlight w:val="yellow"/>
              </w:rPr>
              <w:t xml:space="preserve">cmrfh75ti009fktfqnqp8c3at</w:t>
            </w:r>
          </w:p>
        </w:tc>
      </w:tr>
      <w:tr>
        <w:tc>
          <w:tcPr>
            <w:tcW w:type="dxa" w:w="5328"/>
            <w:shd w:fill="F8FBFE"/>
            <w:vAlign w:val="center"/>
          </w:tcPr>
          <w:p>
            <w:pPr>
              <w:spacing w:after="0"/>
            </w:pPr>
            <w:r/>
            <w:r>
              <w:rPr>
                <w:b w:val="0"/>
                <w:i w:val="0"/>
                <w:sz w:val="15"/>
              </w:rPr>
              <w:t>Approval Date and Time</w:t>
            </w:r>
          </w:p>
        </w:tc>
        <w:tc>
          <w:tcPr>
            <w:tcW w:type="dxa" w:w="5328"/>
            <w:shd w:fill="F8FBFE"/>
            <w:vAlign w:val="center"/>
          </w:tcPr>
          <w:p>
            <w:pPr>
              <w:spacing w:after="0"/>
            </w:pPr>
            <w:r/>
            <w:r>
              <w:rPr>
                <w:b/>
                <w:i w:val="0"/>
                <w:color w:val="000000"/>
                <w:sz w:val="15"/>
                <w:highlight w:val="yellow"/>
              </w:rPr>
              <w:t xml:space="preserve">2026-07-10T21:56:53.435Z</w:t>
            </w:r>
          </w:p>
        </w:tc>
      </w:tr>
      <w:tr>
        <w:tc>
          <w:tcPr>
            <w:tcW w:type="dxa" w:w="5328"/>
            <w:vAlign w:val="center"/>
          </w:tcPr>
          <w:p>
            <w:pPr>
              <w:spacing w:after="0"/>
            </w:pPr>
            <w:r/>
            <w:r>
              <w:rPr>
                <w:b w:val="0"/>
                <w:i w:val="0"/>
                <w:sz w:val="15"/>
              </w:rPr>
              <w:t>Submission Reference</w:t>
            </w:r>
          </w:p>
        </w:tc>
        <w:tc>
          <w:tcPr>
            <w:tcW w:type="dxa" w:w="5328"/>
            <w:vAlign w:val="center"/>
          </w:tcPr>
          <w:p>
            <w:pPr>
              <w:spacing w:after="0"/>
            </w:pPr>
            <w:r/>
            <w:r>
              <w:rPr>
                <w:b/>
                <w:i w:val="0"/>
                <w:color w:val="000000"/>
                <w:sz w:val="15"/>
                <w:highlight w:val="yellow"/>
              </w:rPr>
              <w:t xml:space="preserve">cmrfh75ti009fktfqnqp8c3at</w:t>
            </w:r>
          </w:p>
        </w:tc>
      </w:tr>
      <w:tr>
        <w:tc>
          <w:tcPr>
            <w:tcW w:type="dxa" w:w="5328"/>
            <w:shd w:fill="F8FBFE"/>
            <w:vAlign w:val="center"/>
          </w:tcPr>
          <w:p>
            <w:pPr>
              <w:spacing w:after="0"/>
            </w:pPr>
            <w:r/>
            <w:r>
              <w:rPr>
                <w:b w:val="0"/>
                <w:i w:val="0"/>
                <w:sz w:val="15"/>
              </w:rPr>
              <w:t>Document Hash / Checksum</w:t>
            </w:r>
          </w:p>
        </w:tc>
        <w:tc>
          <w:tcPr>
            <w:tcW w:type="dxa" w:w="5328"/>
            <w:shd w:fill="F8FBFE"/>
            <w:vAlign w:val="center"/>
          </w:tcPr>
          <w:p>
            <w:pPr>
              <w:spacing w:after="0"/>
            </w:pPr>
            <w:r/>
            <w:r>
              <w:rPr>
                <w:b/>
                <w:i w:val="0"/>
                <w:color w:val="000000"/>
                <w:sz w:val="15"/>
                <w:highlight w:val="yellow"/>
              </w:rPr>
              <w:t xml:space="preserve">0554ddad7f375ecf</w:t>
            </w:r>
          </w:p>
        </w:tc>
      </w:tr>
      <w:tr>
        <w:tc>
          <w:tcPr>
            <w:tcW w:type="dxa" w:w="5328"/>
            <w:vAlign w:val="center"/>
          </w:tcPr>
          <w:p>
            <w:pPr>
              <w:spacing w:after="0"/>
            </w:pPr>
            <w:r/>
            <w:r>
              <w:rPr>
                <w:b w:val="0"/>
                <w:i w:val="0"/>
                <w:sz w:val="15"/>
              </w:rPr>
              <w:t>Archive Status</w:t>
            </w:r>
          </w:p>
        </w:tc>
        <w:tc>
          <w:tcPr>
            <w:tcW w:type="dxa" w:w="5328"/>
            <w:vAlign w:val="center"/>
          </w:tcPr>
          <w:p>
            <w:pPr>
              <w:spacing w:after="0"/>
            </w:pPr>
            <w:r/>
            <w:r>
              <w:rPr>
                <w:b/>
                <w:i w:val="0"/>
                <w:color w:val="000000"/>
                <w:sz w:val="15"/>
                <w:highlight w:val="yellow"/>
              </w:rPr>
              <w:t xml:space="preserve">—</w:t>
            </w:r>
          </w:p>
        </w:tc>
      </w:tr>
      <w:tr>
        <w:tc>
          <w:tcPr>
            <w:tcW w:type="dxa" w:w="5328"/>
            <w:shd w:fill="F8FBFE"/>
            <w:vAlign w:val="center"/>
          </w:tcPr>
          <w:p>
            <w:pPr>
              <w:spacing w:after="0"/>
            </w:pPr>
            <w:r/>
            <w:r>
              <w:rPr>
                <w:b w:val="0"/>
                <w:i w:val="0"/>
                <w:sz w:val="15"/>
              </w:rPr>
              <w:t>Reissue Reference, if any</w:t>
            </w:r>
          </w:p>
        </w:tc>
        <w:tc>
          <w:tcPr>
            <w:tcW w:type="dxa" w:w="5328"/>
            <w:shd w:fill="F8FBFE"/>
            <w:vAlign w:val="center"/>
          </w:tcPr>
          <w:p>
            <w:pPr>
              <w:spacing w:after="0"/>
            </w:pPr>
            <w:r/>
            <w:r>
              <w:rPr>
                <w:b/>
                <w:i w:val="0"/>
                <w:color w:val="000000"/>
                <w:sz w:val="15"/>
                <w:highlight w:val="yellow"/>
              </w:rPr>
              <w:t xml:space="preserve">cmrfh75ti009fktfqnqp8c3at</w:t>
            </w:r>
          </w:p>
        </w:tc>
      </w:tr>
    </w:tbl>
    <w:p>
      <w:pPr>
        <w:spacing w:after="80" w:line="240" w:lineRule="auto"/>
      </w:pPr>
    </w:p>
    <w:p>
      <w:pPr>
        <w:spacing w:before="200" w:after="120" w:line="240" w:lineRule="auto"/>
        <w:pBdr>
          <w:bottom w:val="single" w:sz="8" w:space="4" w:color="1E88E5"/>
        </w:pBdr>
      </w:pPr>
      <w:r>
        <w:rPr>
          <w:b/>
          <w:color w:val="071827"/>
          <w:sz w:val="28"/>
        </w:rPr>
        <w:t>16. Standard Footer / Confidentiality Wording</w:t>
      </w:r>
    </w:p>
    <w:p>
      <w:pPr>
        <w:spacing w:after="120" w:line="240" w:lineRule="auto"/>
      </w:pPr>
      <w:r>
        <w:rPr>
          <w:b w:val="0"/>
          <w:i w:val="0"/>
          <w:sz w:val="17"/>
        </w:rPr>
        <w:t xml:space="preserve">Confidential regulatory support schedule | </w:t>
      </w:r>
      <w:r>
        <w:rPr>
          <w:b/>
          <w:i w:val="0"/>
          <w:color w:val="000000"/>
          <w:sz w:val="17"/>
          <w:highlight w:val="yellow"/>
        </w:rPr>
        <w:t xml:space="preserve">Admin User</w:t>
      </w:r>
      <w:r>
        <w:rPr>
          <w:b w:val="0"/>
          <w:i w:val="0"/>
          <w:sz w:val="17"/>
        </w:rPr>
        <w:t xml:space="preserve"> | </w:t>
      </w:r>
      <w:r>
        <w:rPr>
          <w:b/>
          <w:i w:val="0"/>
          <w:color w:val="000000"/>
          <w:sz w:val="17"/>
          <w:highlight w:val="yellow"/>
        </w:rPr>
        <w:t xml:space="preserve">—</w:t>
      </w:r>
      <w:r>
        <w:rPr>
          <w:b w:val="0"/>
          <w:i w:val="0"/>
          <w:sz w:val="17"/>
        </w:rPr>
        <w:t>. This document is system-generated from Arcus using approved source data and is valid only with its digital checksum, version number and approval record.</w:t>
      </w:r>
    </w:p>
    <w:sectPr w:rsidR="00FC693F" w:rsidRPr="0006063C" w:rsidSect="00034616">
      <w:headerReference w:type="default" r:id="rId9"/>
      <w:footerReference w:type="default" r:id="rId10"/>
      <w:pgSz w:w="12240" w:h="15840"/>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4B5563"/>
        <w:sz w:val="14"/>
      </w:rPr>
      <w:t xml:space="preserve">Confidential | SECZIM Capital Adequacy Pack | </w:t>
    </w:r>
    <w:r>
      <w:rPr>
        <w:b/>
        <w:i w:val="0"/>
        <w:color w:val="000000"/>
        <w:sz w:val="14"/>
        <w:highlight w:val="yellow"/>
      </w:rPr>
      <w:t xml:space="preserve">—</w:t>
    </w:r>
    <w:r>
      <w:rPr>
        <w:b w:val="0"/>
        <w:i w:val="0"/>
        <w:color w:val="4B5563"/>
        <w:sz w:val="14"/>
      </w:rPr>
      <w:t xml:space="preserve"> | Generated from Arcus approved source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autofit"/>
      <w:tblLook w:firstColumn="1" w:firstRow="1" w:lastColumn="0" w:lastRow="0" w:noHBand="0" w:noVBand="1" w:val="04A0"/>
    </w:tblPr>
    <w:tblGrid>
      <w:gridCol w:w="5184"/>
      <w:gridCol w:w="5184"/>
    </w:tblGrid>
    <w:tr>
      <w:tc>
        <w:tcPr>
          <w:tcW w:type="dxa" w:w="5184"/>
          <w:shd w:fill="071827"/>
          <w:vAlign w:val="center"/>
        </w:tcPr>
        <w:p>
          <w:pPr>
            <w:spacing w:after="0"/>
          </w:pPr>
          <w:r/>
          <w:r>
            <w:rPr>
              <w:b/>
              <w:i w:val="0"/>
              <w:color w:val="FFFFFF"/>
              <w:sz w:val="16"/>
            </w:rPr>
            <w:t>■  ARCUS REPORTING PACK</w:t>
          </w:r>
        </w:p>
      </w:tc>
      <w:tc>
        <w:tcPr>
          <w:tcW w:type="dxa" w:w="5184"/>
          <w:shd w:fill="071827"/>
          <w:vAlign w:val="center"/>
        </w:tcPr>
        <w:p>
          <w:pPr>
            <w:spacing w:after="0"/>
            <w:jc w:val="right"/>
          </w:pPr>
          <w:r/>
          <w:r>
            <w:rPr>
              <w:b w:val="0"/>
              <w:i w:val="0"/>
              <w:color w:val="FFFFFF"/>
              <w:sz w:val="14"/>
            </w:rPr>
            <w:t>Quarterly Reporting | Investor Statements | Regulatory Packs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