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cmjfpk2g0000lktwmt25ni8p8</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2026-01-01 to 2026-03-31</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2026-07-07</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USD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ZSE Industrial Index</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bl>
    <w:p>
      <w:pPr>
        <w:jc w:val="center"/>
      </w:pPr>
      <w:r>
        <w:rPr>
          <w:rFonts w:ascii="Aptos" w:hAnsi="Aptos" w:eastAsia="Aptos"/>
          <w:b w:val="0"/>
          <w:highlight w:val="yellow"/>
        </w:rPr>
        <w:t xml:space="preserve">CONFIDENTIAL</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ZimFund</w:t>
      </w:r>
      <w:r>
        <w:rPr>
          <w:rFonts w:ascii="Aptos" w:hAnsi="Aptos" w:eastAsia="Aptos"/>
          <w:b w:val="0"/>
          <w:i w:val="0"/>
        </w:rPr>
        <w:t xml:space="preserve"> in respect of </w:t>
      </w:r>
      <w:r>
        <w:rPr>
          <w:rFonts w:ascii="Aptos" w:hAnsi="Aptos" w:eastAsia="Aptos"/>
          <w:b w:val="0"/>
          <w:highlight w:val="yellow"/>
        </w:rPr>
        <w:t xml:space="preserve">ZimFund</w:t>
      </w:r>
      <w:r>
        <w:rPr>
          <w:rFonts w:ascii="Aptos" w:hAnsi="Aptos" w:eastAsia="Aptos"/>
          <w:b w:val="0"/>
          <w:i w:val="0"/>
        </w:rPr>
        <w:t xml:space="preserve"> for the period </w:t>
      </w:r>
      <w:r>
        <w:rPr>
          <w:rFonts w:ascii="Aptos" w:hAnsi="Aptos" w:eastAsia="Aptos"/>
          <w:b w:val="0"/>
          <w:highlight w:val="yellow"/>
        </w:rPr>
        <w:t xml:space="preserve">2026-01-01 to 2026-03-31</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ZimFund</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2026-07-07</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-3.56%</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-17.33%</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-17.33%</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-3.56%</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-17.43%</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6,493.60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xml:space="preserve">—</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Time-Weighted Return (NAV-based)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Net return deducts management fees accrued in period</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Cash 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ZIMRATE</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Model portfolio / holdings-weighted proxy</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Material flows from trade settlements and capital calls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Stock Price Collector / approved manual ticks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2026-07-08</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Jan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12.70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Feb 2026</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Mar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10.70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0.00%</w:t>
      </w:r>
      <w:r>
        <w:rPr>
          <w:rFonts w:ascii="Aptos" w:hAnsi="Aptos" w:eastAsia="Aptos"/>
          <w:b w:val="0"/>
          <w:i w:val="0"/>
        </w:rPr>
        <w:t xml:space="preserve"> compared with the benchmark return of </w:t>
      </w:r>
      <w:r>
        <w:rPr>
          <w:rFonts w:ascii="Aptos" w:hAnsi="Aptos" w:eastAsia="Aptos"/>
          <w:b w:val="0"/>
          <w:highlight w:val="yellow"/>
        </w:rPr>
        <w:t xml:space="preserve">0.11%</w:t>
      </w:r>
      <w:r>
        <w:rPr>
          <w:rFonts w:ascii="Aptos" w:hAnsi="Aptos" w:eastAsia="Aptos"/>
          <w:b w:val="0"/>
          <w:i w:val="0"/>
        </w:rPr>
        <w:t xml:space="preserve">, resulting in an excess / shortfall of </w:t>
      </w:r>
      <w:r>
        <w:rPr>
          <w:rFonts w:ascii="Aptos" w:hAnsi="Aptos" w:eastAsia="Aptos"/>
          <w:b w:val="0"/>
          <w:highlight w:val="yellow"/>
        </w:rPr>
        <w:t xml:space="preserve">-0.11%</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ZSE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Jan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VFEX</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Feb 2026 from valuation snapshots and settlements.</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Mar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Attribution by listing exchange vs model portfolio weights.</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52.05%</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0.39%</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12.70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 52.05% weight, 0.39%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47.91%</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-0.07%</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 0.00% weight, 0.00%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gains from settled sales in period.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losses from settled sales in period.</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gains per latest valuation.</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losses per latest valuation.</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FX translation at ZIMRATE; base currency USD.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Totals from approved valuation snapshots and trade settlements.</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dividend accruals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interest income accruals in period.</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1,084.94</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17.33%</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QUARTERLY</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Management fee at 2.00% annual rate per fund policy.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Deducted from gross return for net figures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Trade and custody costs from settled listed equity transactions.</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xml:space="preserve">USD 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Capital calls recorded on receipt date</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 capital call receipt(s)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xml:space="preserve">USD 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Distributions recorded on payment date</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client withdrawals in period.</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62.30%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56.07%</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Annualised from approved NAV snapshot series.</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31.15%</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31.15%</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Relative to model portfolio benchmark proxy.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0.23</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0.22</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Risk-free rate assumed 0% for reporting.</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0.12</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0.11</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0.50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Excess return per unit of tracking error.</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42.50%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Peak-to-trough from NAV history.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xml:space="preserve">Daily liquidity assessment per fund policy</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Monitor</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and equivalents 0.00% of NAV.</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Reporting period 2026-01-01 to 2026-03-31.</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QTD return 0.00% vs benchmark 0.11% (excess -0.11%).</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Benchmark proxy: ZSE Industrial Index (0.11% QTD).</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Portfolio NAV USD 6,262.24 as at 2026-07-07; 7 positions.</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Portfolio managed by Portfolio Manager; next valuation per fund schedule.</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RECON_OPEN</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cmrav131w0034kt48951arfxr</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OK</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HOLD-T25NI8P8</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TXN-MR4LDWED3931D1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BENCH-951arfxr</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ZIMRATE / snap-tcmsbpz5</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Digitally prepared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 — 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Checked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Authorised — Portfolio Manager</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cmrbpcrjc0084ktft6dv905sy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cmrbpcrjc0084ktft6dv905sy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Stock Price Collector / Portfolio Valuation / Listed Equity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cmrav131w0034kt48951arfxr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cmrav136u0036kt48tcmsbpz5</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cmrav131w0034kt48951arfxr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2026-07-08T06:34:07.085Z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Portfolio Manager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2026-07-08T06:34:07.085Z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Yes</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14eee4d6676b00de</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cmrbpcrjc0084ktft6dv905sy</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Complete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ZimFund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