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Listed Portfolio</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cmrcbmaxf0001un4s5x0cnfaf</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ZSE Industrial Index</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Arcus Listed Portfolio</w:t>
      </w:r>
      <w:r>
        <w:rPr>
          <w:rFonts w:ascii="Aptos" w:hAnsi="Aptos" w:eastAsia="Aptos"/>
          <w:b w:val="0"/>
          <w:i w:val="0"/>
        </w:rPr>
        <w:t xml:space="preserve"> in respect of </w:t>
      </w:r>
      <w:r>
        <w:rPr>
          <w:rFonts w:ascii="Aptos" w:hAnsi="Aptos" w:eastAsia="Aptos"/>
          <w:b w:val="0"/>
          <w:highlight w:val="yellow"/>
        </w:rPr>
        <w:t xml:space="preserve">Arcus Listed Portfolio</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Arcus Listed Portfolio</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2026-07-08</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-3.40%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-3.40%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-0.22%</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6,493.60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6,272.74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(NAV-based)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Net return deducts management fees accrued in period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Model portfolio / holdings-weighted proxy</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from trade settlements and capital calls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2026-07-08</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Jan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23.20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Feb 2026</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Mar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21.20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6,272.74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-0.22%</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0.00%</w:t>
      </w:r>
      <w:r>
        <w:rPr>
          <w:rFonts w:ascii="Aptos" w:hAnsi="Aptos" w:eastAsia="Aptos"/>
          <w:b w:val="0"/>
          <w:i w:val="0"/>
        </w:rPr>
        <w:t xml:space="preserve"> compared with the benchmark return of </w:t>
      </w:r>
      <w:r>
        <w:rPr>
          <w:rFonts w:ascii="Aptos" w:hAnsi="Aptos" w:eastAsia="Aptos"/>
          <w:b w:val="0"/>
          <w:highlight w:val="yellow"/>
        </w:rPr>
        <w:t xml:space="preserve">0.22%</w:t>
      </w:r>
      <w:r>
        <w:rPr>
          <w:rFonts w:ascii="Aptos" w:hAnsi="Aptos" w:eastAsia="Aptos"/>
          <w:b w:val="0"/>
          <w:i w:val="0"/>
        </w:rPr>
        <w:t xml:space="preserve">, resulting in an excess / shortfall of </w:t>
      </w:r>
      <w:r>
        <w:rPr>
          <w:rFonts w:ascii="Aptos" w:hAnsi="Aptos" w:eastAsia="Aptos"/>
          <w:b w:val="0"/>
          <w:highlight w:val="yellow"/>
        </w:rPr>
        <w:t xml:space="preserve">-0.22%</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Jan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VFEX</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Feb 2026 from valuation snapshots and settlements.</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Mar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Attribution by listing exchange vs model portfolio weights.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52.13%</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0.71%</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23.20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 52.13% weight, 0.71%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47.83%</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-0.07%</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 0.00% weight, 0.00%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gains from settled sales in period.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losses from settled sales in period.</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gains per latest valuation.</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losses per latest valuation.</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FX translation at ZIMRATE; base currency USD.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21.20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snapshots and trade settlements.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dividend accruals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interest income accruals in period.</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QUARTERLY</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Management fee at 0.00% annual rate per fund policy.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Deducted from gross return for net figures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Trade and custody costs from settled listed equity transactions.</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Capital calls recorded on receipt date</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 capital call receipt(s)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Distributions recorded on payment date</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client withdrawals in period.</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53.02%</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47.72%</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Annualised from approved NAV snapshot series.</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26.51%</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26.51%</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Relative to model portfolio benchmark proxy.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0.19</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Risk-free rate assumed 0% for reporting.</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0.09</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0.50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Excess return per unit of tracking error.</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42.50%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Peak-to-trough from NAV history.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Monitor</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and equivalents 0.00% of NAV.</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Reporting period 2026-01-01 to 2026-03-31.</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QTD return 0.00% vs benchmark 0.22% (excess -0.22%).</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Benchmark proxy: ZSE Industrial Index (0.22% QTD).</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6,272.74 as at 2026-07-08; 7 positions.</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Portfolio managed by Admin User; next valuation per fund schedule.</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RECON_OPEN</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cmrccuxe800cxkt0ofsvedqta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HOLD-5X0CNFAF</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TXN-MR4LDWED3931D1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BENCH-fsvedqta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 / snap-ygvbzvad</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Digitally prepared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 — 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Checked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2026-07-08</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Authorised — Admin User</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cmrccwfgr000dkt4obi33ar0n</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cmrccwfgr000dkt4obi33ar0n</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 / Listed Equity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cmrccuxe800cxkt0ofsvedqta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cmrccuxhk00czkt0oygvbzvad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cmrccuxe800cxkt0ofsvedqta</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2026-07-08T17:33:15.728Z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2026-07-08T17:33:15.728Z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Yes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2026-07-08</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21fa3f0df95129dd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cmrccwfgr000dkt4obi33ar0n</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Complete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Arcus Listed Portfolio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