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{asset_manager_name}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{client_legal_name}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{client_portfolio_name}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{portfolio_reference}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{quarter_start_date} to {quarter_end_date}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{valuation_date}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{base_currency}</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{benchmark_name}</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{version_number}</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{draft_approved_published_archived}</w:t>
            </w:r>
          </w:p>
        </w:tc>
      </w:tr>
    </w:tbl>
    <w:p>
      <w:pPr>
        <w:jc w:val="center"/>
      </w:pPr>
      <w:r>
        <w:rPr>
          <w:rFonts w:ascii="Aptos" w:hAnsi="Aptos" w:eastAsia="Aptos"/>
          <w:b w:val="0"/>
          <w:highlight w:val="yellow"/>
        </w:rPr>
        <w:t>{confidentiality_marking}</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{client_legal_name}</w:t>
      </w:r>
      <w:r>
        <w:rPr>
          <w:rFonts w:ascii="Aptos" w:hAnsi="Aptos" w:eastAsia="Aptos"/>
          <w:b w:val="0"/>
          <w:i w:val="0"/>
        </w:rPr>
        <w:t xml:space="preserve"> in respect of </w:t>
      </w:r>
      <w:r>
        <w:rPr>
          <w:rFonts w:ascii="Aptos" w:hAnsi="Aptos" w:eastAsia="Aptos"/>
          <w:b w:val="0"/>
          <w:highlight w:val="yellow"/>
        </w:rPr>
        <w:t>{client_portfolio_name}</w:t>
      </w:r>
      <w:r>
        <w:rPr>
          <w:rFonts w:ascii="Aptos" w:hAnsi="Aptos" w:eastAsia="Aptos"/>
          <w:b w:val="0"/>
          <w:i w:val="0"/>
        </w:rPr>
        <w:t xml:space="preserve"> for the period </w:t>
      </w:r>
      <w:r>
        <w:rPr>
          <w:rFonts w:ascii="Aptos" w:hAnsi="Aptos" w:eastAsia="Aptos"/>
          <w:b w:val="0"/>
          <w:highlight w:val="yellow"/>
        </w:rPr>
        <w:t>{quarter_start_date} to {quarter_end_date}</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{client_legal_name}</w:t>
      </w:r>
      <w:r>
        <w:rPr>
          <w:rFonts w:ascii="Aptos" w:hAnsi="Aptos" w:eastAsia="Aptos"/>
          <w:b w:val="0"/>
          <w:i w:val="0"/>
        </w:rPr>
        <w:t xml:space="preserve"> and authorised representatives of </w:t>
      </w:r>
      <w:r>
        <w:rPr>
          <w:rFonts w:ascii="Aptos" w:hAnsi="Aptos" w:eastAsia="Aptos"/>
          <w:b w:val="0"/>
          <w:highlight w:val="yellow"/>
        </w:rPr>
        <w:t>{asset_manager_name}</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{valuation_date}</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{gross_return_qtd}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{gross_return_ytd}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{gross_return_si}</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{benchmark_gross_return}</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{gross_excess_return}</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{net_return_qtd}</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{net_return_ytd}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{net_return_si}</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{benchmark_net_return}</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{net_excess_return}</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{opening_market_value}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{opening_market_value_ytd}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{inception_value}</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{dashboard_opening_benchmark}</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{dashboard_opening_excess}</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{closing_market_value}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{closing_market_value_ytd}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{closing_market_value_si}</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{dashboard_closing_benchmark}</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{dashboard_closing_excess}</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{net_cash_flows_qtd}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{net_cash_flows_ytd}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{net_cash_flows_si}</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{dashboard_cashflows_benchmark}</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{dashboard_cashflows_excess}</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{realised_pnl_qtd}</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{realised_pnl_ytd}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{realised_pnl_si}</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{dashboard_realised_benchmark}</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{dashboard_realised_excess}</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{unrealised_pnl_qtd}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{unrealised_pnl_ytd}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{unrealised_pnl_si}</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{dashboard_unrealised_benchmark}</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{dashboard_unrealised_excess}</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{time_weighted_or_money_weighted_return_method}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{gross_net_fee_basis}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{income_reinvested_or_cash_basis}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{fx_rate_source_and_translation_basis}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{benchmark_total_return_price_return_custom_basis}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{cash_flow_treatment_policy}</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{approved_pricing_source}</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{performance_approval_date}</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{month_or_quarter_1}</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{net_cash_flow_1}</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{income_1}</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{realised_pnl_1}</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{unrealised_pnl_1}</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{closing_value_1}</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{portfolio_return_1}</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{month_or_quarter_2}</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{opening_value_2}</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{net_cash_flow_2}</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{income_2}</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{realised_pnl_2}</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{unrealised_pnl_2}</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{closing_value_2}</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{portfolio_return_2}</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{excess_return_2}</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{month_or_quarter_3}</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{opening_value_3}</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{net_cash_flow_3}</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{income_3}</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{realised_pnl_3}</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{unrealised_pnl_3}</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{closing_value_3}</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{portfolio_return_3}</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{benchmark_return_3}</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{excess_return_3}</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{opening_value_total}</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{net_cash_flow_total}</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{income_total}</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{realised_pnl_total}</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{unrealised_pnl_total}</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{closing_value_total}</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{portfolio_return_total}</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{benchmark_return_total}</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{excess_return_total}</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{portfolio_return_total}</w:t>
      </w:r>
      <w:r>
        <w:rPr>
          <w:rFonts w:ascii="Aptos" w:hAnsi="Aptos" w:eastAsia="Aptos"/>
          <w:b w:val="0"/>
          <w:i w:val="0"/>
        </w:rPr>
        <w:t xml:space="preserve"> compared with the benchmark return of </w:t>
      </w:r>
      <w:r>
        <w:rPr>
          <w:rFonts w:ascii="Aptos" w:hAnsi="Aptos" w:eastAsia="Aptos"/>
          <w:b w:val="0"/>
          <w:highlight w:val="yellow"/>
        </w:rPr>
        <w:t>{benchmark_return_total}</w:t>
      </w:r>
      <w:r>
        <w:rPr>
          <w:rFonts w:ascii="Aptos" w:hAnsi="Aptos" w:eastAsia="Aptos"/>
          <w:b w:val="0"/>
          <w:i w:val="0"/>
        </w:rPr>
        <w:t xml:space="preserve">, resulting in an excess / shortfall of </w:t>
      </w:r>
      <w:r>
        <w:rPr>
          <w:rFonts w:ascii="Aptos" w:hAnsi="Aptos" w:eastAsia="Aptos"/>
          <w:b w:val="0"/>
          <w:highlight w:val="yellow"/>
        </w:rPr>
        <w:t>{excess_return_total}</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{asset_class_or_sector_1}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{total_effect_1}</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{commentary_1}</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{asset_class_or_sector_2}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{selection_effect_2}</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{currency_effect_2}</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{total_effect_2}</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{commentary_2}</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{asset_class_or_sector_3}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{selection_effect_3}</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{currency_effect_3}</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{total_effect_3}</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{commentary_3}</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{portfolio_weight_total}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{benchmark_weight_total}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{allocation_effect_total}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{selection_effect_total}</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{currency_effect_total}</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{total_attribution_effect}</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{summary_commentary}</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{top_contributor_1}</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{avg_weight_1}</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{unrealised_pnl_1}</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{contributor_commentary_1}</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{top_contributor_2}</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{asset_class_2}</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{avg_weight_2}</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{return_2}</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{unrealised_pnl_2}</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{contributor_commentary_2}</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{bottom_contributor_1}</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{asset_class_3}</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{avg_weight_3}</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{return_3}</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{unrealised_pnl_3}</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{contributor_commentary_3}</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{bottom_contributor_2}</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{asset_class_4}</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{avg_weight_4}</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{return_4}</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{contribution_4}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{realised_pnl_4}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{unrealised_pnl_4}</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{contributor_commentary_4}</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{realised_gains_qtd}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{realised_gains_ytd}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{realised_gains_si}</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{realised_gains_commentary}</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{realised_losses_qtd}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{realised_losses_ytd}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{realised_losses_si}</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{realised_losses_commentary}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{unrealised_gains_qtd}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{unrealised_gains_ytd}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{unrealised_gains_si}</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{unrealised_gains_commentary}</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{unrealised_losses_qtd}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{unrealised_losses_ytd}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{unrealised_losses_si}</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{unrealised_losses_commentary}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{fx_gain_loss_qtd}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{fx_gain_loss_ytd}</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{fx_gain_loss_si}</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{fx_commentary}</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{total_pnl_qtd}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{total_pnl_ytd}</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{total_pnl_si}</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{total_pnl_commentary}</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{dividend_income}</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{dividend_return_impact}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{dividend_performance_treatment}</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{dividend_commentary}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{interest_income}</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{interest_return_impact}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{interest_treatment}</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{interest_commentary}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{management_fees}</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{management_fee_return_impact}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{fee_treatment}</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{fee_commentary}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{custody_transaction_costs}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{cost_return_impact}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{cost_treatment}</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{cost_commentary}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{client_contributions}</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{client_contributions_ytd}</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{contribution_treatment}</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{contribution_commentary}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{client_withdrawals}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{client_withdrawals_ytd}</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{withdrawal_treatment}</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{withdrawal_commentary}</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{benchmark_volatility}</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{volatility_limit}</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{volatility_status}</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{volatility_commentary}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{benchmark_tracking_error}</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{tracking_error_limit}</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{tracking_error_status}</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{tracking_error_commentary}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{portfolio_sharpe}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{benchmark_sharpe}</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{sharpe_target}</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{sharpe_status}</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{sharpe_commentary}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{benchmark_information_ratio}</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{information_ratio_target}</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{information_ratio_status}</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{information_ratio_commentary}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{max_drawdown}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{benchmark_drawdown}</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{drawdown_limit}</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{drawdown_status}</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{drawdown_commentary}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{liquidity_metric}</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{liquidity_treatment}</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{liquidity_limit}</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{liquidity_status}</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{liquidity_commentary}</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{market_context_commentary}</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{performance_drivers_commentary}</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{benchmark_commentary}</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{portfolio_positioning_commentary}</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{outlook_and_actions_commentary}</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{performance_tolerance_result}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{performance_tolerance_materiality}</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{performance_tolerance_action}</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{responsible_officer_1}</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{benchmark_exception_result}</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{benchmark_exception_materiality}</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{benchmark_exception_action}</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{responsible_officer_2}</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{target_date_2}</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{price_exception_result}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{price_exception_materiality}</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{price_exception_action}</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{responsible_officer_3}</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{target_date_3}</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{reconciliation_exception_result}</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{reconciliation_exception_materiality}</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{reconciliation_exception_action}</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{responsible_officer_4}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{target_date_4}</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{valuation_report_reference}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{reviewer_name_1}</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{status_1}</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{holdings_report_reference}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{reviewer_name_2}</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{status_2}</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{transaction_report_reference}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{reviewer_name_3}</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{status_3}</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{benchmark_extract_reference}</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{reviewer_name_4}</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{status_4}</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{pricing_fx_reference}</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{reviewer_name_5}</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{status_5}</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{maker_name}</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{maker_designation}</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{maker_date}</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{maker_signature_or_digital_approval}</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{portfolio_manager_name}</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{portfolio_manager_designation}</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{pm_review_date}</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{pm_signature_or_digital_approval}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{checker_name}</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{checker_designation}</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{checker_date}</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{checker_signature_or_digital_approval}</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{authorised_release_name}</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{authorised_release_designation}</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{release_date}</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{release_signature_or_digital_approval}</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{reporting_run_id}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{generated_report_id}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{source_module_stock_price_collector_portfolio_valuation}</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{performance_calculation_batch_id}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{valuation_snapshot_id}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{benchmark_snapshot_id}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{generated_by_user}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{generated_datetime}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{approved_by_user}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{approval_datetime}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{yes_no}</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{portal_publication_date}</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{document_hash}</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{archive_status}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{reissue_reference}</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{status_source_data}</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{reviewer_source_data}</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{status_benchmark}</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{reviewer_benchmark}</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{status_methodology}</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{reviewer_methodology}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{status_pnl}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{reviewer_pnl}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{status_exceptions}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{reviewer_exceptions}</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{status_maker_checker}</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{reviewer_maker_checker}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{asset_manager_name} | {client_portfolio_name} | {reporting_period}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