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i w:val="0"/>
          <w:color w:val="1E88E5"/>
          <w:sz w:val="20"/>
        </w:rPr>
        <w:t>[LOGO PLACEHOLDER]</w:t>
      </w:r>
    </w:p>
    <w:p>
      <w:pPr>
        <w:spacing w:after="80"/>
        <w:jc w:val="center"/>
      </w:pPr>
      <w:r>
        <w:rPr>
          <w:b/>
          <w:color w:val="000000"/>
          <w:sz w:val="28"/>
          <w:highlight w:val="yellow"/>
        </w:rPr>
        <w:t xml:space="preserve">Arcus Asset Management</w:t>
      </w:r>
    </w:p>
    <w:p>
      <w:pPr>
        <w:jc w:val="center"/>
      </w:pPr>
      <w:r>
        <w:rPr>
          <w:b w:val="0"/>
          <w:color w:val="000000"/>
          <w:sz w:val="17"/>
          <w:highlight w:val="yellow"/>
        </w:rPr>
        <w:t xml:space="preserve">Harare, Zimbabwe | operations@arcus.co.zw | +263 | https://arcus.co.zw</w:t>
      </w:r>
    </w:p>
    <w:p>
      <w:pPr>
        <w:spacing w:before="600"/>
        <w:jc w:val="center"/>
      </w:pPr>
      <w:r>
        <w:rPr>
          <w:b/>
          <w:i w:val="0"/>
          <w:color w:val="071B33"/>
          <w:sz w:val="52"/>
        </w:rPr>
        <w:t>FEE REPORT</w:t>
      </w:r>
    </w:p>
    <w:p>
      <w:pPr>
        <w:jc w:val="center"/>
      </w:pPr>
      <w:r>
        <w:rPr>
          <w:b w:val="0"/>
          <w:i w:val="0"/>
          <w:color w:val="44546A"/>
          <w:sz w:val="22"/>
        </w:rPr>
        <w:t>Client Portfolio Fees, Charges, Taxes and Cost Reconciliation</w:t>
      </w:r>
    </w:p>
    <w:tbl>
      <w:tblPr>
        <w:tblW w:type="auto" w:w="0"/>
        <w:jc w:val="center"/>
        <w:tblLook w:firstColumn="1" w:firstRow="1" w:lastColumn="0" w:lastRow="0" w:noHBand="0" w:noVBand="1" w:val="04A0"/>
      </w:tblPr>
      <w:tblGrid>
        <w:gridCol w:w="3168"/>
        <w:gridCol w:w="6480"/>
      </w:tblGrid>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Client / Investor</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 xml:space="preserve">Arcus Listed Portfolio</w:t>
            </w:r>
          </w:p>
        </w:tc>
      </w:tr>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Portfolio / Account</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 xml:space="preserve">Arcus Listed Portfolio / 0</w:t>
            </w:r>
          </w:p>
        </w:tc>
      </w:tr>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Reporting Period</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 xml:space="preserve">2026-01-01 to 2026-03-31</w:t>
            </w:r>
          </w:p>
        </w:tc>
      </w:tr>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Valuation / Cut-off Date</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 xml:space="preserve">2026-07-10</w:t>
            </w:r>
          </w:p>
        </w:tc>
      </w:tr>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Base / Reporting Currency</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 xml:space="preserve">USD / USD</w:t>
            </w:r>
          </w:p>
        </w:tc>
      </w:tr>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Document Status / Version</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 xml:space="preserve">Pass / 1.0</w:t>
            </w:r>
          </w:p>
        </w:tc>
      </w:tr>
    </w:tbl>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Replace only yellow highlighted placeholders. Delete blue instruction boxes before issuing the final client version. Keep the standard legal wording unless amended by authorised legal/compliance personnel.</w:t>
            </w:r>
          </w:p>
        </w:tc>
      </w:tr>
    </w:tbl>
    <w:p/>
    <w:p>
      <w:pPr>
        <w:pStyle w:val="Heading1"/>
        <w:spacing w:before="280" w:after="120"/>
      </w:pPr>
      <w:r>
        <w:rPr>
          <w:b/>
          <w:color w:val="071B33"/>
          <w:sz w:val="32"/>
        </w:rPr>
        <w:t>Document Control</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7"/>
              </w:rPr>
              <w:t>Control Field</w:t>
            </w:r>
          </w:p>
        </w:tc>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7"/>
              </w:rPr>
              <w:t>Editable Value</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Report Run ID</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 xml:space="preserve">cmrfh6u64008oktfq5q5rqkju</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Generated Report ID</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 xml:space="preserve">cmrfh6u64008oktfq5q5rqkju</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Prepared By</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 xml:space="preserve">Admin User - Investment Operations</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Checker / Approver</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 xml:space="preserve">Admin User - Investment Operations</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Approval Date</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 xml:space="preserve">2026-07-10</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Document Hash / Checksum</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 xml:space="preserve">ecc717ffe8961f8a</w:t>
            </w:r>
          </w:p>
        </w:tc>
      </w:tr>
    </w:tbl>
    <w:p/>
    <w:p>
      <w:r>
        <w:br w:type="page"/>
      </w:r>
    </w:p>
    <w:p>
      <w:pPr>
        <w:pStyle w:val="Heading1"/>
        <w:spacing w:before="280" w:after="120"/>
      </w:pPr>
      <w:r>
        <w:rPr>
          <w:b/>
          <w:color w:val="071B33"/>
          <w:sz w:val="32"/>
        </w:rPr>
        <w:t>Template Use Guide</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This template is for an asset management Fee Report. It should be generated from approved fee records, transaction cost records, custody/admin charges, VAT/tax records, cash postings and portfolio valuation data. Figures must not be typed manually in the final Arcus-generated version.</w:t>
            </w:r>
          </w:p>
        </w:tc>
      </w:tr>
    </w:tbl>
    <w:p/>
    <w:tbl>
      <w:tblPr>
        <w:tblStyle w:val="TableGrid"/>
        <w:tblW w:type="auto" w:w="0"/>
        <w:jc w:val="center"/>
        <w:tblLook w:firstColumn="1" w:firstRow="1" w:lastColumn="0" w:lastRow="0" w:noHBand="0" w:noVBand="1" w:val="04A0"/>
      </w:tblPr>
      <w:tblGrid>
        <w:gridCol w:w="3346"/>
        <w:gridCol w:w="3346"/>
        <w:gridCol w:w="3346"/>
      </w:tblGrid>
      <w:tr>
        <w:trPr>
          <w:tblHeader w:val="true"/>
        </w:trPr>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7"/>
              </w:rPr>
              <w:t>Visual Marker</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7"/>
              </w:rPr>
              <w:t>Meaning</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7"/>
              </w:rPr>
              <w:t>Action Before Final Issue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Yellow highlighted placeholders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Fields to be populated by Arcus or completed by an authorised user</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Replace with final data or system-generated values</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Blue instruction boxes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Guidance for preparers and reviewers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Delete before final issue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Plain unhighlighted text</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Approved standard report wording</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Do not amend without approval</w:t>
            </w:r>
          </w:p>
        </w:tc>
      </w:tr>
    </w:tbl>
    <w:p/>
    <w:p>
      <w:pPr>
        <w:pStyle w:val="Heading1"/>
        <w:spacing w:before="280" w:after="120"/>
      </w:pPr>
      <w:r>
        <w:rPr>
          <w:b/>
          <w:color w:val="071B33"/>
          <w:sz w:val="32"/>
        </w:rPr>
        <w:t>Confidentiality and Reliance Notice</w:t>
      </w:r>
    </w:p>
    <w:p>
      <w:pPr>
        <w:pStyle w:val="BodyText"/>
        <w:spacing w:after="80"/>
      </w:pPr>
      <w:r>
        <w:rPr>
          <w:sz w:val="19"/>
        </w:rPr>
      </w:r>
      <w:r>
        <w:rPr>
          <w:b w:val="0"/>
          <w:i w:val="0"/>
          <w:sz w:val="18"/>
        </w:rPr>
        <w:t xml:space="preserve">This Fee Report is confidential and has been prepared solely for </w:t>
      </w:r>
      <w:r>
        <w:rPr>
          <w:b w:val="0"/>
          <w:color w:val="000000"/>
          <w:sz w:val="18"/>
          <w:highlight w:val="yellow"/>
        </w:rPr>
        <w:t xml:space="preserve">Arcus Listed Portfolio</w:t>
      </w:r>
      <w:r>
        <w:rPr>
          <w:b w:val="0"/>
          <w:i w:val="0"/>
          <w:sz w:val="18"/>
        </w:rPr>
        <w:t xml:space="preserve"> in respect of the portfolio/account identified in this report. It summarises management fees, advisory fees, custody charges, transaction costs, taxes, VAT where applicable and other agreed charges recorded during the reporting period. This report may not be distributed to any third party without the prior written consent of </w:t>
      </w:r>
      <w:r>
        <w:rPr>
          <w:b w:val="0"/>
          <w:color w:val="000000"/>
          <w:sz w:val="18"/>
          <w:highlight w:val="yellow"/>
        </w:rPr>
        <w:t xml:space="preserve">Arcus Asset Management</w:t>
      </w:r>
      <w:r>
        <w:rPr>
          <w:b w:val="0"/>
          <w:i w:val="0"/>
          <w:sz w:val="18"/>
        </w:rPr>
        <w:t>, except where disclosure is required by law, a competent regulator, an auditor, trustee, custodian, tax adviser or other authorised professional adviser.</w:t>
      </w:r>
    </w:p>
    <w:p>
      <w:pPr>
        <w:pStyle w:val="BodyText"/>
        <w:spacing w:after="80"/>
      </w:pPr>
      <w:r>
        <w:rPr>
          <w:sz w:val="19"/>
        </w:rPr>
      </w:r>
      <w:r>
        <w:rPr>
          <w:b w:val="0"/>
          <w:i w:val="0"/>
          <w:sz w:val="18"/>
        </w:rPr>
        <w:t>This report does not constitute tax advice, legal advice or an investment recommendation. Amounts are based on approved Arcus source data and should be read together with the relevant mandate, investment management agreement, fee schedule, custody agreement, transaction records and client statement.</w:t>
      </w:r>
    </w:p>
    <w:p>
      <w:pPr>
        <w:pStyle w:val="Heading1"/>
        <w:spacing w:before="280" w:after="120"/>
      </w:pPr>
      <w:r>
        <w:rPr>
          <w:b/>
          <w:color w:val="071B33"/>
          <w:sz w:val="32"/>
        </w:rPr>
        <w:t>1. Executive Fee Summary</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Populate this section from the approved Fees, Cash, Transactions and Portfolio Valuation modules. The total charges should reconcile to cash movements and/or accrued liabilities.</w:t>
            </w:r>
          </w:p>
        </w:tc>
      </w:tr>
    </w:tbl>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Fee / Cost Category</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Current Period</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Year to Date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 of Average AUM</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Management / Advisory Fees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Custody / Trustee / Administration Fees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Brokerage / Transaction Costs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Bank Charges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VAT / Taxes / Levies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Other Approved Charges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Total Fees and Costs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bl>
    <w:p/>
    <w:p>
      <w:pPr>
        <w:pStyle w:val="Heading1"/>
        <w:spacing w:before="280" w:after="120"/>
      </w:pPr>
      <w:r>
        <w:rPr>
          <w:b/>
          <w:color w:val="071B33"/>
          <w:sz w:val="32"/>
        </w:rPr>
        <w:t>2. Fee Basis and Calculation Parameters</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Confirm fee rates against the signed client mandate or investment management agreement. Do not override fee rates in this report unless the source fee configuration has been approved and updated.</w:t>
            </w:r>
          </w:p>
        </w:tc>
      </w:tr>
    </w:tbl>
    <w:p/>
    <w:tbl>
      <w:tblPr>
        <w:tblStyle w:val="TableGrid"/>
        <w:tblW w:type="auto" w:w="0"/>
        <w:jc w:val="center"/>
        <w:tblLook w:firstColumn="1" w:firstRow="1" w:lastColumn="0" w:lastRow="0" w:noHBand="0" w:noVBand="1" w:val="04A0"/>
      </w:tblPr>
      <w:tblGrid>
        <w:gridCol w:w="3346"/>
        <w:gridCol w:w="3346"/>
        <w:gridCol w:w="3346"/>
      </w:tblGrid>
      <w:tr>
        <w:trPr>
          <w:tblHeader w:val="true"/>
        </w:trPr>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Parameter</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Applicable Value</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Source / Reference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Fee Schedule Reference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Management Fee Rate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2026-07-10</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Performance Fee Rate, if applicable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Hurdle / Benchmark, if applicable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cmrfh6u64008oktfq5q5rqkju</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High-water Mark, if applicable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Per approved investment operations policy and valuation records.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Average AUM Basis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Billing Frequency</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2026-07-10</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VAT / Tax Treatment</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Currency of Billing</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w:t>
            </w:r>
          </w:p>
        </w:tc>
      </w:tr>
    </w:tbl>
    <w:p/>
    <w:p>
      <w:pPr>
        <w:pStyle w:val="Heading1"/>
        <w:spacing w:before="280" w:after="120"/>
      </w:pPr>
      <w:r>
        <w:rPr>
          <w:b/>
          <w:color w:val="071B33"/>
          <w:sz w:val="32"/>
        </w:rPr>
        <w:t>3. Management / Advisory Fee Calculation</w:t>
      </w:r>
    </w:p>
    <w:tbl>
      <w:tblPr>
        <w:tblStyle w:val="TableGrid"/>
        <w:tblW w:type="auto" w:w="0"/>
        <w:jc w:val="center"/>
        <w:tblLook w:firstColumn="1" w:firstRow="1" w:lastColumn="0" w:lastRow="0" w:noHBand="0" w:noVBand="1" w:val="04A0"/>
      </w:tblPr>
      <w:tblGrid>
        <w:gridCol w:w="3346"/>
        <w:gridCol w:w="3346"/>
        <w:gridCol w:w="3346"/>
      </w:tblGrid>
      <w:tr>
        <w:trPr>
          <w:tblHeader w:val="true"/>
        </w:trPr>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Calculation Step</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Amount / Rate</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Comment</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Opening Portfolio Value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Add: Subscriptions / Inflows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Per approved investment operations policy and valuation records.</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Less: Withdrawals / Outflows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Per approved investment operations policy and valuation records.</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Average AUM / Billing Base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Applicable Fee Rate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Per approved investment operations policy and valuation records.</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Gross Management / Advisory Fee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VAT / Tax on Fee, if applicable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Net Fee Charged / Accrued</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r>
    </w:tbl>
    <w:p/>
    <w:p>
      <w:pPr>
        <w:sectPr>
          <w:headerReference w:type="default" r:id="rId9"/>
          <w:footerReference w:type="default" r:id="rId10"/>
          <w:pgSz w:w="11909" w:h="16834"/>
          <w:pgMar w:top="936" w:right="936" w:bottom="936" w:left="936" w:header="720" w:footer="720" w:gutter="0"/>
          <w:cols w:space="720"/>
          <w:docGrid w:linePitch="360"/>
        </w:sectPr>
      </w:pPr>
    </w:p>
    <w:p>
      <w:pPr>
        <w:pStyle w:val="Heading1"/>
        <w:spacing w:before="280" w:after="120"/>
      </w:pPr>
      <w:r>
        <w:rPr>
          <w:b/>
          <w:color w:val="071B33"/>
          <w:sz w:val="32"/>
        </w:rPr>
        <w:t>4. Detailed Fee and Charge Schedule</w:t>
      </w:r>
    </w:p>
    <w:tbl>
      <w:tblPr>
        <w:tblW w:type="auto" w:w="0"/>
        <w:jc w:val="center"/>
        <w:tblLook w:firstColumn="1" w:firstRow="1" w:lastColumn="0" w:lastRow="0" w:noHBand="0" w:noVBand="1" w:val="04A0"/>
      </w:tblPr>
      <w:tblGrid>
        <w:gridCol w:w="15394"/>
      </w:tblGrid>
      <w:tr>
        <w:tc>
          <w:tcPr>
            <w:tcW w:type="dxa" w:w="15394"/>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Use this schedule for individual fee lines. Each line should map to a source transaction, accrual, invoice, custodian charge, broker note, tax record or approved adjustment. Add or remove rows as required.</w:t>
            </w:r>
          </w:p>
        </w:tc>
      </w:tr>
    </w:tbl>
    <w:p/>
    <w:tbl>
      <w:tblPr>
        <w:tblStyle w:val="TableGrid"/>
        <w:tblW w:type="auto" w:w="0"/>
        <w:jc w:val="center"/>
        <w:tblLook w:firstColumn="1" w:firstRow="1" w:lastColumn="0" w:lastRow="0" w:noHBand="0" w:noVBand="1" w:val="04A0"/>
      </w:tblPr>
      <w:tblGrid>
        <w:gridCol w:w="1539"/>
        <w:gridCol w:w="1539"/>
        <w:gridCol w:w="1539"/>
        <w:gridCol w:w="1539"/>
        <w:gridCol w:w="1539"/>
        <w:gridCol w:w="1539"/>
        <w:gridCol w:w="1539"/>
        <w:gridCol w:w="1539"/>
        <w:gridCol w:w="1539"/>
        <w:gridCol w:w="1539"/>
      </w:tblGrid>
      <w:tr>
        <w:trPr>
          <w:tblHeader w:val="true"/>
        </w:trPr>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Date</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Reference</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Category</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Description</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Basis</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Gross Amount</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VAT / Tax</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Net Amount</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Cash / Accrual</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Source Status</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Pass</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Pass</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Pass</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Pass</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Pass</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rPr>
              <w:t>Total</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Pass</w:t>
            </w:r>
          </w:p>
        </w:tc>
      </w:tr>
    </w:tbl>
    <w:p/>
    <w:p>
      <w:pPr>
        <w:pStyle w:val="Heading1"/>
        <w:spacing w:before="280" w:after="120"/>
      </w:pPr>
      <w:r>
        <w:rPr>
          <w:b/>
          <w:color w:val="071B33"/>
          <w:sz w:val="32"/>
        </w:rPr>
        <w:t>5. Brokerage and Transaction Cost Breakdown</w:t>
      </w:r>
    </w:p>
    <w:tbl>
      <w:tblPr>
        <w:tblStyle w:val="TableGrid"/>
        <w:tblW w:type="auto" w:w="0"/>
        <w:jc w:val="center"/>
        <w:tblLook w:firstColumn="1" w:firstRow="1" w:lastColumn="0" w:lastRow="0" w:noHBand="0" w:noVBand="1" w:val="04A0"/>
      </w:tblPr>
      <w:tblGrid>
        <w:gridCol w:w="1710"/>
        <w:gridCol w:w="1710"/>
        <w:gridCol w:w="1710"/>
        <w:gridCol w:w="1710"/>
        <w:gridCol w:w="1710"/>
        <w:gridCol w:w="1710"/>
        <w:gridCol w:w="1710"/>
        <w:gridCol w:w="1710"/>
        <w:gridCol w:w="1710"/>
      </w:tblGrid>
      <w:tr>
        <w:trPr>
          <w:tblHeader w:val="true"/>
        </w:trPr>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Trade Date</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Instrument</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Transaction Type</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Broker</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Consideration</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Brokerage</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Levies / Taxes</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Other Costs</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Total Costs</w:t>
            </w:r>
          </w:p>
        </w:tc>
      </w:tr>
      <w:tr>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 xml:space="preserve">2026-07-10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CBZ</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r>
      <w:tr>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 xml:space="preserve">2026-07-10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DLTA</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r>
      <w:tr>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 xml:space="preserve">2026-07-10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INN</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r>
      <w:tr>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rPr>
              <w:t>Total</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 xml:space="preserve">USD 0.00</w:t>
            </w:r>
          </w:p>
        </w:tc>
      </w:tr>
    </w:tbl>
    <w:p/>
    <w:p>
      <w:pPr>
        <w:sectPr>
          <w:headerReference w:type="default" r:id="rId11"/>
          <w:footerReference w:type="default" r:id="rId12"/>
          <w:pgSz w:w="16834" w:h="11909" w:orient="landscape"/>
          <w:pgMar w:top="792" w:right="720" w:bottom="792" w:left="720" w:header="720" w:footer="720" w:gutter="0"/>
          <w:cols w:space="720"/>
          <w:docGrid w:linePitch="360"/>
        </w:sectPr>
      </w:pPr>
    </w:p>
    <w:p>
      <w:pPr>
        <w:pStyle w:val="Heading1"/>
        <w:spacing w:before="280" w:after="120"/>
      </w:pPr>
      <w:r>
        <w:rPr>
          <w:b/>
          <w:color w:val="071B33"/>
          <w:sz w:val="32"/>
        </w:rPr>
        <w:t>6. Custody, Administration and Other Service Provider Charges</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Capture costs from approved custodian, trustee, administrator, bank, exchange or service-provider records. Reconcile billed amounts to cash deductions or accrued liabilities.</w:t>
            </w:r>
          </w:p>
        </w:tc>
      </w:tr>
    </w:tbl>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Service Provider</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Charge Type</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Invoice / Reference</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Gross Amount</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VAT / Tax</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Net Amount</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Settlement Status</w:t>
            </w:r>
          </w:p>
        </w:tc>
      </w:tr>
      <w:tr>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 xml:space="preserve">—</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 xml:space="preserve">—</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 xml:space="preserve">—</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Total</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bl>
    <w:p/>
    <w:p>
      <w:pPr>
        <w:pStyle w:val="Heading1"/>
        <w:spacing w:before="280" w:after="120"/>
      </w:pPr>
      <w:r>
        <w:rPr>
          <w:b/>
          <w:color w:val="071B33"/>
          <w:sz w:val="32"/>
        </w:rPr>
        <w:t>7. VAT, Tax and Withholding Support</w:t>
      </w:r>
    </w:p>
    <w:p>
      <w:pPr>
        <w:pStyle w:val="BodyText"/>
        <w:spacing w:after="80"/>
      </w:pPr>
      <w:r>
        <w:rPr>
          <w:sz w:val="19"/>
        </w:rPr>
      </w:r>
      <w:r>
        <w:rPr>
          <w:b w:val="0"/>
          <w:i w:val="0"/>
          <w:sz w:val="18"/>
        </w:rPr>
        <w:t>The following schedule supports VAT, withholding tax and other tax/levy amounts reflected in the report. It is a support schedule only and does not constitute tax filing or tax advice.</w:t>
      </w:r>
    </w:p>
    <w:tbl>
      <w:tblPr>
        <w:tblStyle w:val="TableGrid"/>
        <w:tblW w:type="auto" w:w="0"/>
        <w:jc w:val="center"/>
        <w:tblLook w:firstColumn="1" w:firstRow="1" w:lastColumn="0" w:lastRow="0" w:noHBand="0" w:noVBand="1" w:val="04A0"/>
      </w:tblPr>
      <w:tblGrid>
        <w:gridCol w:w="1673"/>
        <w:gridCol w:w="1673"/>
        <w:gridCol w:w="1673"/>
        <w:gridCol w:w="1673"/>
        <w:gridCol w:w="1673"/>
        <w:gridCol w:w="1673"/>
      </w:tblGrid>
      <w:tr>
        <w:trPr>
          <w:tblHeader w:val="true"/>
        </w:trPr>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Tax / Levy Type</w:t>
            </w:r>
          </w:p>
        </w:tc>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Taxable / Chargeable Base</w:t>
            </w:r>
          </w:p>
        </w:tc>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Rate</w:t>
            </w:r>
          </w:p>
        </w:tc>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Amount</w:t>
            </w:r>
          </w:p>
        </w:tc>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Reference</w:t>
            </w:r>
          </w:p>
        </w:tc>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Status</w:t>
            </w:r>
          </w:p>
        </w:tc>
      </w:tr>
      <w:tr>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VAT on management/advisory fees</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Withholding tax, if applicable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r>
      <w:tr>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Transaction levies / taxes</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Other taxes / statutory charges</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r>
      <w:tr>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Total</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r>
    </w:tbl>
    <w:p/>
    <w:p>
      <w:pPr>
        <w:pStyle w:val="Heading1"/>
        <w:spacing w:before="280" w:after="120"/>
      </w:pPr>
      <w:r>
        <w:rPr>
          <w:b/>
          <w:color w:val="071B33"/>
          <w:sz w:val="32"/>
        </w:rPr>
        <w:t>8. Cash, Accrual and Accounting Reconciliation</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The total fees and charges must reconcile to cash movements, accrued expenses, receivables/payables and accounting ledger postings. Any difference must be explained and approved.</w:t>
            </w:r>
          </w:p>
        </w:tc>
      </w:tr>
    </w:tbl>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Reconciliation Item</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Amount</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Source</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Status / 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Total fees and charges per this report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Generated Fee Report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Pass</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Total cash paid / deducted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Cashbook / Bank / Custodian</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Pass</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Total accrued but unpaid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USD 0.00</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Accounting Ledger</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Pass</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Total reversed / waived / adjusted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Approved Adjustments</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Pass</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Reconciliation difference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System calculated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Per approved investment operations policy and valuation records.</w:t>
            </w:r>
          </w:p>
        </w:tc>
      </w:tr>
    </w:tbl>
    <w:p/>
    <w:p>
      <w:pPr>
        <w:pStyle w:val="Heading1"/>
        <w:spacing w:before="280" w:after="120"/>
      </w:pPr>
      <w:r>
        <w:rPr>
          <w:b/>
          <w:color w:val="071B33"/>
          <w:sz w:val="32"/>
        </w:rPr>
        <w:t>9. Fee Exceptions, Waivers and Adjustments</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Exception / Adjustment</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Amount</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Reason</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Approval Reference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Resolution 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bl>
    <w:p/>
    <w:p>
      <w:pPr>
        <w:pStyle w:val="Heading1"/>
        <w:spacing w:before="280" w:after="120"/>
      </w:pPr>
      <w:r>
        <w:rPr>
          <w:b/>
          <w:color w:val="071B33"/>
          <w:sz w:val="32"/>
        </w:rPr>
        <w:t>10. Compliance and Client Mandate Checks</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Control</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Required Check</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Result</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Reviewer 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Fee rate validation</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t>Fees agree to approved client mandate / fee schedule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No unauthorised charges</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t>All charges are authorised by mandate, contract or approved policy</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Maker-checker control</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t>Preparer and approver are different authorised users</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Per approved investment operations policy and valuation records.</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Client disclosure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t>Fees/costs disclosed in client-facing statement or pack</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Per approved investment operations policy and valuation records.</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Regulatory support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t>Amounts are available for SECZIM/client/audit evidence where applicable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Per approved investment operations policy and valuation records.</w:t>
            </w:r>
          </w:p>
        </w:tc>
      </w:tr>
    </w:tbl>
    <w:p/>
    <w:p>
      <w:pPr>
        <w:pStyle w:val="Heading1"/>
        <w:spacing w:before="280" w:after="120"/>
      </w:pPr>
      <w:r>
        <w:rPr>
          <w:b/>
          <w:color w:val="071B33"/>
          <w:sz w:val="32"/>
        </w:rPr>
        <w:t>11. Supporting Documents Register</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Document</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Reference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Owner</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Uploaded / Available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Review 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Signed client mandate / fee schedule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2026-07-10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Fee calculation export</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Invoices / service provider statements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Broker notes / contract notes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Cashbook / bank / custodian evidence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cmrfh6u64008oktfq5q5rqkju</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Tax/VAT support</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USD 0.00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 xml:space="preserve">Pass</w:t>
            </w:r>
          </w:p>
        </w:tc>
      </w:tr>
    </w:tbl>
    <w:p/>
    <w:p>
      <w:pPr>
        <w:pStyle w:val="Heading1"/>
        <w:spacing w:before="280" w:after="120"/>
      </w:pPr>
      <w:r>
        <w:rPr>
          <w:b/>
          <w:color w:val="071B33"/>
          <w:sz w:val="32"/>
        </w:rPr>
        <w:t>12. Management Commentary</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Use this section only where commentary is appropriate. Explain material fee changes, waivers, performance fee accruals, exceptional costs, foreign currency effects or significant transaction cost movements.</w:t>
            </w:r>
          </w:p>
        </w:tc>
      </w:tr>
    </w:tbl>
    <w:p/>
    <w:p>
      <w:pPr>
        <w:pStyle w:val="BodyText"/>
        <w:spacing w:after="80"/>
      </w:pPr>
      <w:r>
        <w:rPr>
          <w:sz w:val="19"/>
        </w:rPr>
      </w:r>
      <w:r>
        <w:rPr>
          <w:b w:val="0"/>
          <w:color w:val="000000"/>
          <w:sz w:val="18"/>
          <w:highlight w:val="yellow"/>
        </w:rPr>
        <w:t xml:space="preserve">USD 0.00</w:t>
      </w:r>
    </w:p>
    <w:p>
      <w:pPr>
        <w:pStyle w:val="Heading1"/>
        <w:spacing w:before="280" w:after="120"/>
      </w:pPr>
      <w:r>
        <w:rPr>
          <w:b/>
          <w:color w:val="071B33"/>
          <w:sz w:val="32"/>
        </w:rPr>
        <w:t>13. Approval and Certification</w:t>
      </w:r>
    </w:p>
    <w:p>
      <w:pPr>
        <w:pStyle w:val="BodyText"/>
        <w:spacing w:after="80"/>
      </w:pPr>
      <w:r>
        <w:rPr>
          <w:sz w:val="19"/>
        </w:rPr>
      </w:r>
      <w:r>
        <w:rPr>
          <w:b w:val="0"/>
          <w:i w:val="0"/>
          <w:sz w:val="18"/>
        </w:rPr>
        <w:t>We certify that this Fee Report has been prepared from approved source data and, to the best of our knowledge, reflects the fees, charges, taxes and related cost records applicable to the portfolio for the reporting period stated above.</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Role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Name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Designation</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Date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Signature</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Prepared By - Maker</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Admin User</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Investment Operations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2026-07-10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________________</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Reviewed By - Checker</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Admin User</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Investment Operations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2026-07-10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________________</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Authorised Release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Admin User</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Admin User</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2026-07-10</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________________</w:t>
            </w:r>
          </w:p>
        </w:tc>
      </w:tr>
    </w:tbl>
    <w:p/>
    <w:p>
      <w:pPr>
        <w:pStyle w:val="Heading1"/>
        <w:spacing w:before="280" w:after="120"/>
      </w:pPr>
      <w:r>
        <w:rPr>
          <w:b/>
          <w:color w:val="071B33"/>
          <w:sz w:val="32"/>
        </w:rPr>
        <w:t>14. Digital Signature and Audit Details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Audit Field</w:t>
            </w:r>
          </w:p>
        </w:tc>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Detail</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Report Run ID</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cmrfh6u64008oktfq5q5rqkju</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Generated Report ID</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cmrfh6u64008oktfq5q5rqkju</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Source Snapshot ID</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cmrfh6u64008oktfq5q5rqkju</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Generated By</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Admin User</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Generated Date and Time</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2026-07-10T21:56:38.338Z</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Approved By</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Approval Date and Time</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2026-07-10T21:56:38.338Z</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Published to Client Portal</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Pass</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Portal Publication Date</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2026-07-10</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Document Hash / Checksum</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ecc717ffe8961f8a</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Archive Status</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 xml:space="preserve">DRAFT</w:t>
            </w:r>
          </w:p>
        </w:tc>
      </w:tr>
    </w:tbl>
    <w:p/>
    <w:p>
      <w:pPr>
        <w:spacing w:before="240"/>
        <w:jc w:val="center"/>
      </w:pPr>
      <w:r>
        <w:rPr>
          <w:b/>
          <w:i w:val="0"/>
          <w:color w:val="071B33"/>
          <w:sz w:val="18"/>
        </w:rPr>
        <w:t>End of Fee Report</w:t>
      </w:r>
    </w:p>
    <w:sectPr w:rsidR="00FC693F" w:rsidRPr="0006063C" w:rsidSect="00034616">
      <w:headerReference w:type="default" r:id="rId13"/>
      <w:footerReference w:type="default" r:id="rId14"/>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b w:val="0"/>
        <w:i w:val="0"/>
        <w:color w:val="44546A"/>
        <w:sz w:val="14"/>
      </w:rPr>
      <w:t xml:space="preserve">Confidential | </w:t>
    </w:r>
    <w:r>
      <w:rPr>
        <w:b w:val="0"/>
        <w:color w:val="000000"/>
        <w:sz w:val="14"/>
        <w:highlight w:val="yellow"/>
      </w:rPr>
      <w:t xml:space="preserve">Arcus Asset Management</w:t>
    </w:r>
    <w:r>
      <w:rPr>
        <w:b w:val="0"/>
        <w:i w:val="0"/>
        <w:color w:val="44546A"/>
        <w:sz w:val="14"/>
      </w:rPr>
      <w:t xml:space="preserve"> | Fee Report | Generated from approved Arcus source data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b w:val="0"/>
        <w:i w:val="0"/>
        <w:color w:val="44546A"/>
        <w:sz w:val="14"/>
      </w:rPr>
      <w:t xml:space="preserve">Confidential | </w:t>
    </w:r>
    <w:r>
      <w:rPr>
        <w:b w:val="0"/>
        <w:color w:val="000000"/>
        <w:sz w:val="14"/>
        <w:highlight w:val="yellow"/>
      </w:rPr>
      <w:t xml:space="preserve">Arcus Asset Management</w:t>
    </w:r>
    <w:r>
      <w:rPr>
        <w:b w:val="0"/>
        <w:i w:val="0"/>
        <w:color w:val="44546A"/>
        <w:sz w:val="14"/>
      </w:rPr>
      <w:t xml:space="preserve"> | Fee Report | Generated from approved Arcus source data</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b w:val="0"/>
        <w:i w:val="0"/>
        <w:color w:val="44546A"/>
        <w:sz w:val="14"/>
      </w:rPr>
      <w:t xml:space="preserve">Confidential | </w:t>
    </w:r>
    <w:r>
      <w:rPr>
        <w:b w:val="0"/>
        <w:color w:val="000000"/>
        <w:sz w:val="14"/>
        <w:highlight w:val="yellow"/>
      </w:rPr>
      <w:t xml:space="preserve">Arcus Asset Management</w:t>
    </w:r>
    <w:r>
      <w:rPr>
        <w:b w:val="0"/>
        <w:i w:val="0"/>
        <w:color w:val="44546A"/>
        <w:sz w:val="14"/>
      </w:rPr>
      <w:t xml:space="preserve"> | Fee Report | Generated from approved Arcus source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6624"/>
      <w:gridCol w:w="3456"/>
    </w:tblGrid>
    <w:tr>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r/>
          <w:r>
            <w:rPr>
              <w:b/>
              <w:i w:val="0"/>
              <w:color w:val="1E88E5"/>
              <w:sz w:val="24"/>
            </w:rPr>
            <w:t xml:space="preserve">■ </w:t>
          </w:r>
          <w:r>
            <w:rPr>
              <w:b/>
              <w:i w:val="0"/>
              <w:color w:val="071B33"/>
              <w:sz w:val="18"/>
            </w:rPr>
            <w:t>ARCUS REPORT TEMPLATE</w:t>
          </w:r>
        </w:p>
        <w:p>
          <w:r>
            <w:rPr>
              <w:b w:val="0"/>
              <w:i w:val="0"/>
              <w:color w:val="44546A"/>
              <w:sz w:val="15"/>
            </w:rPr>
            <w:t>Quarterly Reporting | Investor Statements | Regulatory Packs</w:t>
          </w:r>
        </w:p>
      </w:tc>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pPr>
            <w:jc w:val="right"/>
          </w:pPr>
          <w:r/>
          <w:r>
            <w:rPr>
              <w:b/>
              <w:i w:val="0"/>
              <w:color w:val="071B33"/>
              <w:sz w:val="16"/>
            </w:rPr>
            <w:t>FEE REPORT</w:t>
          </w:r>
        </w:p>
        <w:p>
          <w:pPr>
            <w:jc w:val="right"/>
          </w:pPr>
          <w:r>
            <w:rPr>
              <w:b w:val="0"/>
              <w:color w:val="000000"/>
              <w:sz w:val="15"/>
              <w:highlight w:val="yellow"/>
            </w:rPr>
            <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6624"/>
      <w:gridCol w:w="3456"/>
    </w:tblGrid>
    <w:tr>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r/>
          <w:r>
            <w:rPr>
              <w:b/>
              <w:i w:val="0"/>
              <w:color w:val="1E88E5"/>
              <w:sz w:val="24"/>
            </w:rPr>
            <w:t xml:space="preserve">■ </w:t>
          </w:r>
          <w:r>
            <w:rPr>
              <w:b/>
              <w:i w:val="0"/>
              <w:color w:val="071B33"/>
              <w:sz w:val="18"/>
            </w:rPr>
            <w:t>ARCUS REPORT TEMPLATE</w:t>
          </w:r>
        </w:p>
        <w:p>
          <w:r>
            <w:rPr>
              <w:b w:val="0"/>
              <w:i w:val="0"/>
              <w:color w:val="44546A"/>
              <w:sz w:val="15"/>
            </w:rPr>
            <w:t>Quarterly Reporting | Investor Statements | Regulatory Packs</w:t>
          </w:r>
        </w:p>
      </w:tc>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pPr>
            <w:jc w:val="right"/>
          </w:pPr>
          <w:r/>
          <w:r>
            <w:rPr>
              <w:b/>
              <w:i w:val="0"/>
              <w:color w:val="071B33"/>
              <w:sz w:val="16"/>
            </w:rPr>
            <w:t>FEE REPORT</w:t>
          </w:r>
        </w:p>
        <w:p>
          <w:pPr>
            <w:jc w:val="right"/>
          </w:pPr>
          <w:r>
            <w:rPr>
              <w:b w:val="0"/>
              <w:color w:val="000000"/>
              <w:sz w:val="15"/>
              <w:highlight w:val="yellow"/>
            </w:rPr>
            <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6624"/>
      <w:gridCol w:w="3456"/>
    </w:tblGrid>
    <w:tr>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r/>
          <w:r>
            <w:rPr>
              <w:b/>
              <w:i w:val="0"/>
              <w:color w:val="1E88E5"/>
              <w:sz w:val="24"/>
            </w:rPr>
            <w:t xml:space="preserve">■ </w:t>
          </w:r>
          <w:r>
            <w:rPr>
              <w:b/>
              <w:i w:val="0"/>
              <w:color w:val="071B33"/>
              <w:sz w:val="18"/>
            </w:rPr>
            <w:t>ARCUS REPORT TEMPLATE</w:t>
          </w:r>
        </w:p>
        <w:p>
          <w:r>
            <w:rPr>
              <w:b w:val="0"/>
              <w:i w:val="0"/>
              <w:color w:val="44546A"/>
              <w:sz w:val="15"/>
            </w:rPr>
            <w:t>Quarterly Reporting | Investor Statements | Regulatory Packs</w:t>
          </w:r>
        </w:p>
      </w:tc>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pPr>
            <w:jc w:val="right"/>
          </w:pPr>
          <w:r/>
          <w:r>
            <w:rPr>
              <w:b/>
              <w:i w:val="0"/>
              <w:color w:val="071B33"/>
              <w:sz w:val="16"/>
            </w:rPr>
            <w:t>FEE REPORT</w:t>
          </w:r>
        </w:p>
        <w:p>
          <w:pPr>
            <w:jc w:val="right"/>
          </w:pPr>
          <w:r>
            <w:rPr>
              <w:b w:val="0"/>
              <w:color w:val="000000"/>
              <w:sz w:val="15"/>
              <w:highlight w:val="yellow"/>
            </w:rPr>
            <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