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40" w:lineRule="auto"/>
        <w:jc w:val="center"/>
      </w:pPr>
      <w:r>
        <w:rPr>
          <w:rFonts w:ascii="Aptos" w:hAnsi="Aptos" w:eastAsia="Aptos"/>
          <w:b/>
          <w:i w:val="0"/>
          <w:color w:val="07182B"/>
          <w:sz w:val="36"/>
        </w:rPr>
        <w:t>ARCUS</w:t>
      </w:r>
      <w:r>
        <w:rPr>
          <w:rFonts w:ascii="Aptos" w:hAnsi="Aptos" w:eastAsia="Aptos"/>
          <w:b w:val="0"/>
          <w:i w:val="0"/>
          <w:color w:val="44546A"/>
          <w:sz w:val="20"/>
        </w:rPr>
        <w:t xml:space="preserve">  |  ASSET MANAGEMENT REPORTING</w:t>
      </w:r>
    </w:p>
    <w:p>
      <w:pPr>
        <w:spacing w:before="160" w:after="80" w:line="240" w:lineRule="auto"/>
        <w:jc w:val="center"/>
      </w:pPr>
      <w:r>
        <w:rPr>
          <w:rFonts w:ascii="Aptos" w:hAnsi="Aptos" w:eastAsia="Aptos"/>
          <w:b/>
          <w:i w:val="0"/>
          <w:color w:val="07182B"/>
          <w:sz w:val="44"/>
        </w:rPr>
        <w:t>PERFORMANCE REPORT</w:t>
      </w:r>
    </w:p>
    <w:p>
      <w:pPr>
        <w:jc w:val="center"/>
      </w:pPr>
      <w:r>
        <w:rPr>
          <w:rFonts w:ascii="Aptos" w:hAnsi="Aptos" w:eastAsia="Aptos"/>
          <w:b w:val="0"/>
          <w:i w:val="0"/>
          <w:color w:val="44546A"/>
          <w:sz w:val="20"/>
        </w:rPr>
        <w:t>Client Portfolio Performance, Benchmark Comparison and P&amp;L Attribution</w:t>
      </w:r>
    </w:p>
    <w:tbl>
      <w:tblPr>
        <w:tblW w:type="auto" w:w="0"/>
        <w:jc w:val="center"/>
        <w:tblLayout w:type="autofit"/>
        <w:tblLook w:firstColumn="1" w:firstRow="1" w:lastColumn="0" w:lastRow="0" w:noHBand="0" w:noVBand="1" w:val="04A0"/>
      </w:tblPr>
      <w:tblGrid>
        <w:gridCol w:w="10512"/>
      </w:tblGrid>
      <w:tr>
        <w:tc>
          <w:tcPr>
            <w:tcW w:type="dxa" w:w="10512"/>
            <w:shd w:fill="EAF4FF"/>
            <w:tcBorders>
              <w:top w:sz="6" w:val="single" w:color="9CC7F0"/>
              <w:left w:sz="6" w:val="single" w:color="9CC7F0"/>
              <w:bottom w:sz="6" w:val="single" w:color="9CC7F0"/>
              <w:right w:sz="6" w:val="single" w:color="9CC7F0"/>
            </w:tcBorders>
          </w:tcPr>
          <w:p>
            <w:pPr>
              <w:spacing w:before="0" w:after="0" w:line="240" w:lineRule="auto"/>
            </w:pPr>
            <w:r>
              <w:rPr>
                <w:rFonts w:ascii="Aptos" w:hAnsi="Aptos" w:eastAsia="Aptos"/>
                <w:b/>
                <w:i w:val="0"/>
                <w:color w:val="1E88E5"/>
                <w:sz w:val="17"/>
              </w:rPr>
              <w:t xml:space="preserve">INSTRUCTION: </w:t>
            </w:r>
            <w:r>
              <w:rPr>
                <w:rFonts w:ascii="Aptos" w:hAnsi="Aptos" w:eastAsia="Aptos"/>
                <w:b w:val="0"/>
                <w:i w:val="0"/>
                <w:color w:val="44546A"/>
                <w:sz w:val="17"/>
              </w:rPr>
              <w:t>Replace all yellow highlighted placeholders with the approved values generated from Arcus. Delete all blue instruction boxes before issuing the final report. Do not edit unhighlighted legal, reliance, approval or audit wording unless approved by compliance/legal.</w:t>
            </w:r>
          </w:p>
        </w:tc>
      </w:tr>
    </w:tbl>
    <w:tbl>
      <w:tblPr>
        <w:tblStyle w:val="TableGrid"/>
        <w:tblW w:type="auto" w:w="0"/>
        <w:jc w:val="center"/>
        <w:tblLook w:firstColumn="1" w:firstRow="1" w:lastColumn="0" w:lastRow="0" w:noHBand="0" w:noVBand="1" w:val="04A0"/>
      </w:tblPr>
      <w:tblGrid>
        <w:gridCol w:w="5256"/>
        <w:gridCol w:w="5256"/>
      </w:tblGrid>
      <w:tr>
        <w:tc>
          <w:tcPr>
            <w:tcW w:type="dxa" w:w="3744"/>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i w:val="0"/>
                <w:color w:val="07182B"/>
                <w:sz w:val="17"/>
              </w:rPr>
              <w:t>Asset Manager</w:t>
            </w:r>
          </w:p>
        </w:tc>
        <w:tc>
          <w:tcPr>
            <w:tcW w:type="dxa" w:w="5328"/>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val="0"/>
                <w:sz w:val="16"/>
                <w:highlight w:val="yellow"/>
              </w:rPr>
              <w:t xml:space="preserve">Arcus Asset Management</w:t>
            </w:r>
          </w:p>
        </w:tc>
      </w:tr>
      <w:tr>
        <w:tc>
          <w:tcPr>
            <w:tcW w:type="dxa" w:w="3744"/>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i w:val="0"/>
                <w:color w:val="07182B"/>
                <w:sz w:val="17"/>
              </w:rPr>
              <w:t>Client / Investor</w:t>
            </w:r>
          </w:p>
        </w:tc>
        <w:tc>
          <w:tcPr>
            <w:tcW w:type="dxa" w:w="5328"/>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val="0"/>
                <w:sz w:val="16"/>
                <w:highlight w:val="yellow"/>
              </w:rPr>
              <w:t xml:space="preserve">Arcus Listed Portfolio</w:t>
            </w:r>
          </w:p>
        </w:tc>
      </w:tr>
      <w:tr>
        <w:tc>
          <w:tcPr>
            <w:tcW w:type="dxa" w:w="3744"/>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i w:val="0"/>
                <w:color w:val="07182B"/>
                <w:sz w:val="17"/>
              </w:rPr>
              <w:t>Client Account / Portfolio</w:t>
            </w:r>
          </w:p>
        </w:tc>
        <w:tc>
          <w:tcPr>
            <w:tcW w:type="dxa" w:w="5328"/>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val="0"/>
                <w:sz w:val="16"/>
                <w:highlight w:val="yellow"/>
              </w:rPr>
              <w:t xml:space="preserve">Arcus Listed Portfolio</w:t>
            </w:r>
          </w:p>
        </w:tc>
      </w:tr>
      <w:tr>
        <w:tc>
          <w:tcPr>
            <w:tcW w:type="dxa" w:w="3744"/>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i w:val="0"/>
                <w:color w:val="07182B"/>
                <w:sz w:val="17"/>
              </w:rPr>
              <w:t>Portfolio Reference</w:t>
            </w:r>
          </w:p>
        </w:tc>
        <w:tc>
          <w:tcPr>
            <w:tcW w:type="dxa" w:w="5328"/>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val="0"/>
                <w:sz w:val="16"/>
                <w:highlight w:val="yellow"/>
              </w:rPr>
              <w:t xml:space="preserve">cmrcbmaxf0001un4s5x0cnfaf</w:t>
            </w:r>
          </w:p>
        </w:tc>
      </w:tr>
      <w:tr>
        <w:tc>
          <w:tcPr>
            <w:tcW w:type="dxa" w:w="3744"/>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i w:val="0"/>
                <w:color w:val="07182B"/>
                <w:sz w:val="17"/>
              </w:rPr>
              <w:t>Reporting Period</w:t>
            </w:r>
          </w:p>
        </w:tc>
        <w:tc>
          <w:tcPr>
            <w:tcW w:type="dxa" w:w="5328"/>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val="0"/>
                <w:sz w:val="16"/>
                <w:highlight w:val="yellow"/>
              </w:rPr>
              <w:t xml:space="preserve">2026-01-01 to 2026-03-31</w:t>
            </w:r>
          </w:p>
        </w:tc>
      </w:tr>
      <w:tr>
        <w:tc>
          <w:tcPr>
            <w:tcW w:type="dxa" w:w="3744"/>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i w:val="0"/>
                <w:color w:val="07182B"/>
                <w:sz w:val="17"/>
              </w:rPr>
              <w:t>Valuation Date</w:t>
            </w:r>
          </w:p>
        </w:tc>
        <w:tc>
          <w:tcPr>
            <w:tcW w:type="dxa" w:w="5328"/>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val="0"/>
                <w:sz w:val="16"/>
                <w:highlight w:val="yellow"/>
              </w:rPr>
              <w:t xml:space="preserve">2026-07-08</w:t>
            </w:r>
          </w:p>
        </w:tc>
      </w:tr>
      <w:tr>
        <w:tc>
          <w:tcPr>
            <w:tcW w:type="dxa" w:w="3744"/>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i w:val="0"/>
                <w:color w:val="07182B"/>
                <w:sz w:val="17"/>
              </w:rPr>
              <w:t>Base Currency</w:t>
            </w:r>
          </w:p>
        </w:tc>
        <w:tc>
          <w:tcPr>
            <w:tcW w:type="dxa" w:w="5328"/>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val="0"/>
                <w:sz w:val="16"/>
                <w:highlight w:val="yellow"/>
              </w:rPr>
              <w:t xml:space="preserve">USD</w:t>
            </w:r>
          </w:p>
        </w:tc>
      </w:tr>
      <w:tr>
        <w:tc>
          <w:tcPr>
            <w:tcW w:type="dxa" w:w="3744"/>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i w:val="0"/>
                <w:color w:val="07182B"/>
                <w:sz w:val="17"/>
              </w:rPr>
              <w:t>Benchmark</w:t>
            </w:r>
          </w:p>
        </w:tc>
        <w:tc>
          <w:tcPr>
            <w:tcW w:type="dxa" w:w="5328"/>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val="0"/>
                <w:sz w:val="16"/>
                <w:highlight w:val="yellow"/>
              </w:rPr>
              <w:t xml:space="preserve">ZSE Industrial Index</w:t>
            </w:r>
          </w:p>
        </w:tc>
      </w:tr>
      <w:tr>
        <w:tc>
          <w:tcPr>
            <w:tcW w:type="dxa" w:w="3744"/>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i w:val="0"/>
                <w:color w:val="07182B"/>
                <w:sz w:val="17"/>
              </w:rPr>
              <w:t>Report Version</w:t>
            </w:r>
          </w:p>
        </w:tc>
        <w:tc>
          <w:tcPr>
            <w:tcW w:type="dxa" w:w="5328"/>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val="0"/>
                <w:sz w:val="16"/>
                <w:highlight w:val="yellow"/>
              </w:rPr>
              <w:t xml:space="preserve">1.0</w:t>
            </w:r>
          </w:p>
        </w:tc>
      </w:tr>
      <w:tr>
        <w:tc>
          <w:tcPr>
            <w:tcW w:type="dxa" w:w="3744"/>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i w:val="0"/>
                <w:color w:val="07182B"/>
                <w:sz w:val="17"/>
              </w:rPr>
              <w:t>Document Status</w:t>
            </w:r>
          </w:p>
        </w:tc>
        <w:tc>
          <w:tcPr>
            <w:tcW w:type="dxa" w:w="5328"/>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val="0"/>
                <w:sz w:val="16"/>
                <w:highlight w:val="yellow"/>
              </w:rPr>
              <w:t xml:space="preserve">DRAFT</w:t>
            </w:r>
          </w:p>
        </w:tc>
      </w:tr>
    </w:tbl>
    <w:p>
      <w:pPr>
        <w:jc w:val="center"/>
      </w:pPr>
      <w:r>
        <w:rPr>
          <w:rFonts w:ascii="Aptos" w:hAnsi="Aptos" w:eastAsia="Aptos"/>
          <w:b w:val="0"/>
          <w:highlight w:val="yellow"/>
        </w:rPr>
        <w:t xml:space="preserve">CONFIDENTIAL</w:t>
      </w:r>
      <w:r>
        <w:rPr>
          <w:rFonts w:ascii="Aptos" w:hAnsi="Aptos" w:eastAsia="Aptos"/>
          <w:b w:val="0"/>
          <w:i w:val="0"/>
          <w:color w:val="44546A"/>
          <w:sz w:val="16"/>
        </w:rPr>
        <w:t xml:space="preserve"> | Generated from approved Arcus portfolio valuation and performance records</w:t>
      </w:r>
    </w:p>
    <w:p>
      <w:r>
        <w:br w:type="page"/>
      </w:r>
    </w:p>
    <w:p>
      <w:pPr>
        <w:pStyle w:val="Heading1"/>
        <w:keepLines/>
      </w:pPr>
      <w:r>
        <w:rPr>
          <w:rFonts w:ascii="Aptos" w:hAnsi="Aptos" w:eastAsia="Aptos"/>
          <w:b/>
          <w:i w:val="0"/>
          <w:color w:val="07182B"/>
          <w:sz w:val="32"/>
        </w:rPr>
        <w:t>1. Purpose and Scope</w:t>
      </w:r>
    </w:p>
    <w:tbl>
      <w:tblPr>
        <w:tblW w:type="auto" w:w="0"/>
        <w:jc w:val="center"/>
        <w:tblLayout w:type="autofit"/>
        <w:tblLook w:firstColumn="1" w:firstRow="1" w:lastColumn="0" w:lastRow="0" w:noHBand="0" w:noVBand="1" w:val="04A0"/>
      </w:tblPr>
      <w:tblGrid>
        <w:gridCol w:w="10512"/>
      </w:tblGrid>
      <w:tr>
        <w:tc>
          <w:tcPr>
            <w:tcW w:type="dxa" w:w="10512"/>
            <w:shd w:fill="EAF4FF"/>
            <w:tcBorders>
              <w:top w:sz="6" w:val="single" w:color="9CC7F0"/>
              <w:left w:sz="6" w:val="single" w:color="9CC7F0"/>
              <w:bottom w:sz="6" w:val="single" w:color="9CC7F0"/>
              <w:right w:sz="6" w:val="single" w:color="9CC7F0"/>
            </w:tcBorders>
          </w:tcPr>
          <w:p>
            <w:pPr>
              <w:spacing w:before="0" w:after="0" w:line="240" w:lineRule="auto"/>
            </w:pPr>
            <w:r>
              <w:rPr>
                <w:rFonts w:ascii="Aptos" w:hAnsi="Aptos" w:eastAsia="Aptos"/>
                <w:b/>
                <w:i w:val="0"/>
                <w:color w:val="1E88E5"/>
                <w:sz w:val="17"/>
              </w:rPr>
              <w:t xml:space="preserve">INSTRUCTION: </w:t>
            </w:r>
            <w:r>
              <w:rPr>
                <w:rFonts w:ascii="Aptos" w:hAnsi="Aptos" w:eastAsia="Aptos"/>
                <w:b w:val="0"/>
                <w:i w:val="0"/>
                <w:color w:val="44546A"/>
                <w:sz w:val="17"/>
              </w:rPr>
              <w:t>Confirm the portfolio, benchmark, valuation date and performance methodology before release. Performance must be sourced from the Stock Price Collector / Portfolio Valuation module and not manually recalculated in this report.</w:t>
            </w:r>
          </w:p>
        </w:tc>
      </w:tr>
    </w:tbl>
    <w:p>
      <w:pPr>
        <w:spacing w:before="0" w:after="120" w:line="240" w:lineRule="auto"/>
      </w:pPr>
      <w:r>
        <w:rPr>
          <w:rFonts w:ascii="Aptos" w:hAnsi="Aptos" w:eastAsia="Aptos"/>
          <w:b w:val="0"/>
          <w:i w:val="0"/>
        </w:rPr>
        <w:t xml:space="preserve">This Performance Report has been prepared for </w:t>
      </w:r>
      <w:r>
        <w:rPr>
          <w:rFonts w:ascii="Aptos" w:hAnsi="Aptos" w:eastAsia="Aptos"/>
          <w:b w:val="0"/>
          <w:highlight w:val="yellow"/>
        </w:rPr>
        <w:t xml:space="preserve">Arcus Listed Portfolio</w:t>
      </w:r>
      <w:r>
        <w:rPr>
          <w:rFonts w:ascii="Aptos" w:hAnsi="Aptos" w:eastAsia="Aptos"/>
          <w:b w:val="0"/>
          <w:i w:val="0"/>
        </w:rPr>
        <w:t xml:space="preserve"> in respect of </w:t>
      </w:r>
      <w:r>
        <w:rPr>
          <w:rFonts w:ascii="Aptos" w:hAnsi="Aptos" w:eastAsia="Aptos"/>
          <w:b w:val="0"/>
          <w:highlight w:val="yellow"/>
        </w:rPr>
        <w:t xml:space="preserve">Arcus Listed Portfolio</w:t>
      </w:r>
      <w:r>
        <w:rPr>
          <w:rFonts w:ascii="Aptos" w:hAnsi="Aptos" w:eastAsia="Aptos"/>
          <w:b w:val="0"/>
          <w:i w:val="0"/>
        </w:rPr>
        <w:t xml:space="preserve"> for the period </w:t>
      </w:r>
      <w:r>
        <w:rPr>
          <w:rFonts w:ascii="Aptos" w:hAnsi="Aptos" w:eastAsia="Aptos"/>
          <w:b w:val="0"/>
          <w:highlight w:val="yellow"/>
        </w:rPr>
        <w:t xml:space="preserve">2026-01-01 to 2026-03-31</w:t>
      </w:r>
      <w:r>
        <w:rPr>
          <w:rFonts w:ascii="Aptos" w:hAnsi="Aptos" w:eastAsia="Aptos"/>
          <w:b w:val="0"/>
          <w:i w:val="0"/>
        </w:rPr>
        <w:t>. It summarises portfolio performance, benchmark comparison, realised and unrealised profit or loss, contribution to return, income, fees, cash-flow adjusted performance and relevant mandate or performance exceptions.</w:t>
      </w:r>
    </w:p>
    <w:p>
      <w:pPr>
        <w:spacing w:before="0" w:after="120" w:line="240" w:lineRule="auto"/>
      </w:pPr>
      <w:r>
        <w:rPr>
          <w:rFonts w:ascii="Aptos" w:hAnsi="Aptos" w:eastAsia="Aptos"/>
          <w:b w:val="0"/>
          <w:i w:val="0"/>
        </w:rPr>
        <w:t>The report is intended to support client reporting, portfolio manager review, investment committee oversight and internal performance governance. It should be read together with the Client Portfolio Valuation Statement, Holdings Report and Transaction Report for the same period where applicable.</w:t>
      </w:r>
    </w:p>
    <w:p>
      <w:pPr>
        <w:pStyle w:val="Heading1"/>
        <w:keepLines/>
      </w:pPr>
      <w:r>
        <w:rPr>
          <w:rFonts w:ascii="Aptos" w:hAnsi="Aptos" w:eastAsia="Aptos"/>
          <w:b/>
          <w:i w:val="0"/>
          <w:color w:val="07182B"/>
          <w:sz w:val="32"/>
        </w:rPr>
        <w:t>2. Confidentiality, Reliance and Calculation Basis</w:t>
      </w:r>
    </w:p>
    <w:p>
      <w:pPr>
        <w:spacing w:before="0" w:after="120" w:line="240" w:lineRule="auto"/>
      </w:pPr>
      <w:r>
        <w:rPr>
          <w:rFonts w:ascii="Aptos" w:hAnsi="Aptos" w:eastAsia="Aptos"/>
          <w:b w:val="0"/>
          <w:i w:val="0"/>
        </w:rPr>
        <w:t xml:space="preserve">This report is confidential and is issued solely to </w:t>
      </w:r>
      <w:r>
        <w:rPr>
          <w:rFonts w:ascii="Aptos" w:hAnsi="Aptos" w:eastAsia="Aptos"/>
          <w:b w:val="0"/>
          <w:highlight w:val="yellow"/>
        </w:rPr>
        <w:t xml:space="preserve">Arcus Listed Portfolio</w:t>
      </w:r>
      <w:r>
        <w:rPr>
          <w:rFonts w:ascii="Aptos" w:hAnsi="Aptos" w:eastAsia="Aptos"/>
          <w:b w:val="0"/>
          <w:i w:val="0"/>
        </w:rPr>
        <w:t xml:space="preserve"> and authorised representatives of </w:t>
      </w:r>
      <w:r>
        <w:rPr>
          <w:rFonts w:ascii="Aptos" w:hAnsi="Aptos" w:eastAsia="Aptos"/>
          <w:b w:val="0"/>
          <w:highlight w:val="yellow"/>
        </w:rPr>
        <w:t xml:space="preserve">Arcus Asset Management</w:t>
      </w:r>
      <w:r>
        <w:rPr>
          <w:rFonts w:ascii="Aptos" w:hAnsi="Aptos" w:eastAsia="Aptos"/>
          <w:b w:val="0"/>
          <w:i w:val="0"/>
        </w:rPr>
        <w:t>. It may not be copied, distributed, disclosed or relied upon by any third party without prior written approval, except where disclosure is required by law, regulation, auditors, trustees, custodians, tax advisers or another competent authority.</w:t>
      </w:r>
    </w:p>
    <w:p>
      <w:pPr>
        <w:spacing w:before="0" w:after="120" w:line="240" w:lineRule="auto"/>
      </w:pPr>
      <w:r>
        <w:rPr>
          <w:rFonts w:ascii="Aptos" w:hAnsi="Aptos" w:eastAsia="Aptos"/>
          <w:b w:val="0"/>
          <w:i w:val="0"/>
        </w:rPr>
        <w:t xml:space="preserve">Performance has been calculated using approved holdings, prices, cash balances, income, fees, trades, FX rates and valuation records as at </w:t>
      </w:r>
      <w:r>
        <w:rPr>
          <w:rFonts w:ascii="Aptos" w:hAnsi="Aptos" w:eastAsia="Aptos"/>
          <w:b w:val="0"/>
          <w:highlight w:val="yellow"/>
        </w:rPr>
        <w:t xml:space="preserve">2026-07-08</w:t>
      </w:r>
      <w:r>
        <w:rPr>
          <w:rFonts w:ascii="Aptos" w:hAnsi="Aptos" w:eastAsia="Aptos"/>
          <w:b w:val="0"/>
          <w:i w:val="0"/>
        </w:rPr>
        <w:t>. Amounts may be rounded for presentation. Where any discrepancy arises, the approved Arcus source records, client mandate and accounting records shall prevail.</w:t>
      </w:r>
    </w:p>
    <w:p>
      <w:pPr>
        <w:spacing w:before="0" w:after="120" w:line="240" w:lineRule="auto"/>
      </w:pPr>
      <w:r>
        <w:rPr>
          <w:rFonts w:ascii="Aptos" w:hAnsi="Aptos" w:eastAsia="Aptos"/>
          <w:b w:val="0"/>
          <w:i w:val="0"/>
        </w:rPr>
        <w:t>Unless expressly stated otherwise, this report is not an audited financial statement, tax opinion, investment recommendation, offer, solicitation or guarantee of future performance.</w:t>
      </w:r>
    </w:p>
    <w:p>
      <w:pPr>
        <w:pStyle w:val="Heading1"/>
        <w:keepLines/>
      </w:pPr>
      <w:r>
        <w:rPr>
          <w:rFonts w:ascii="Aptos" w:hAnsi="Aptos" w:eastAsia="Aptos"/>
          <w:b/>
          <w:i w:val="0"/>
          <w:color w:val="07182B"/>
          <w:sz w:val="32"/>
        </w:rPr>
        <w:t>3. Performance Dashboard</w:t>
      </w:r>
    </w:p>
    <w:tbl>
      <w:tblPr>
        <w:tblW w:type="auto" w:w="0"/>
        <w:jc w:val="center"/>
        <w:tblLayout w:type="autofit"/>
        <w:tblLook w:firstColumn="1" w:firstRow="1" w:lastColumn="0" w:lastRow="0" w:noHBand="0" w:noVBand="1" w:val="04A0"/>
      </w:tblPr>
      <w:tblGrid>
        <w:gridCol w:w="10512"/>
      </w:tblGrid>
      <w:tr>
        <w:tc>
          <w:tcPr>
            <w:tcW w:type="dxa" w:w="10512"/>
            <w:shd w:fill="EAF4FF"/>
            <w:tcBorders>
              <w:top w:sz="6" w:val="single" w:color="9CC7F0"/>
              <w:left w:sz="6" w:val="single" w:color="9CC7F0"/>
              <w:bottom w:sz="6" w:val="single" w:color="9CC7F0"/>
              <w:right w:sz="6" w:val="single" w:color="9CC7F0"/>
            </w:tcBorders>
          </w:tcPr>
          <w:p>
            <w:pPr>
              <w:spacing w:before="0" w:after="0" w:line="240" w:lineRule="auto"/>
            </w:pPr>
            <w:r>
              <w:rPr>
                <w:rFonts w:ascii="Aptos" w:hAnsi="Aptos" w:eastAsia="Aptos"/>
                <w:b/>
                <w:i w:val="0"/>
                <w:color w:val="1E88E5"/>
                <w:sz w:val="17"/>
              </w:rPr>
              <w:t xml:space="preserve">INSTRUCTION: </w:t>
            </w:r>
            <w:r>
              <w:rPr>
                <w:rFonts w:ascii="Aptos" w:hAnsi="Aptos" w:eastAsia="Aptos"/>
                <w:b w:val="0"/>
                <w:i w:val="0"/>
                <w:color w:val="44546A"/>
                <w:sz w:val="17"/>
              </w:rPr>
              <w:t>Populate this dashboard from approved portfolio performance records. Returns should be marked clearly as gross or net of fees. Confirm whether the benchmark is price return, total return or custom mandate benchmark.</w:t>
            </w:r>
          </w:p>
        </w:tc>
      </w:tr>
    </w:tbl>
    <w:tbl>
      <w:tblPr>
        <w:tblStyle w:val="TableGrid"/>
        <w:tblW w:type="auto" w:w="0"/>
        <w:jc w:val="center"/>
        <w:tblLook w:firstColumn="1" w:firstRow="1" w:lastColumn="0" w:lastRow="0" w:noHBand="0" w:noVBand="1" w:val="04A0"/>
      </w:tblPr>
      <w:tblGrid>
        <w:gridCol w:w="1752"/>
        <w:gridCol w:w="1752"/>
        <w:gridCol w:w="1752"/>
        <w:gridCol w:w="1752"/>
        <w:gridCol w:w="1752"/>
        <w:gridCol w:w="1752"/>
      </w:tblGrid>
      <w:tr>
        <w:trPr>
          <w:tblHeader w:val="true"/>
        </w:trPr>
        <w:tc>
          <w:tcPr>
            <w:tcW w:type="dxa" w:w="2232"/>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5"/>
              </w:rPr>
              <w:t>Measure</w:t>
            </w:r>
          </w:p>
        </w:tc>
        <w:tc>
          <w:tcPr>
            <w:tcW w:type="dxa" w:w="1656"/>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5"/>
              </w:rPr>
              <w:t>Current Quarter</w:t>
            </w:r>
          </w:p>
        </w:tc>
        <w:tc>
          <w:tcPr>
            <w:tcW w:type="dxa" w:w="1512"/>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5"/>
              </w:rPr>
              <w:t>Year to Date</w:t>
            </w:r>
          </w:p>
        </w:tc>
        <w:tc>
          <w:tcPr>
            <w:tcW w:type="dxa" w:w="1656"/>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5"/>
              </w:rPr>
              <w:t>Since Inception</w:t>
            </w:r>
          </w:p>
        </w:tc>
        <w:tc>
          <w:tcPr>
            <w:tcW w:type="dxa" w:w="1440"/>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5"/>
              </w:rPr>
              <w:t>Benchmark</w:t>
            </w:r>
          </w:p>
        </w:tc>
        <w:tc>
          <w:tcPr>
            <w:tcW w:type="dxa" w:w="1512"/>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5"/>
              </w:rPr>
              <w:t>Excess / Shortfall</w:t>
            </w:r>
          </w:p>
        </w:tc>
      </w:tr>
      <w:tr>
        <w:tc>
          <w:tcPr>
            <w:tcW w:type="dxa" w:w="223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Portfolio Return - Gross</w:t>
            </w:r>
          </w:p>
        </w:tc>
        <w:tc>
          <w:tcPr>
            <w:tcW w:type="dxa" w:w="165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0.00%</w:t>
            </w:r>
          </w:p>
        </w:tc>
        <w:tc>
          <w:tcPr>
            <w:tcW w:type="dxa" w:w="151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0.00%</w:t>
            </w:r>
          </w:p>
        </w:tc>
        <w:tc>
          <w:tcPr>
            <w:tcW w:type="dxa" w:w="165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-3.40%</w:t>
            </w:r>
          </w:p>
        </w:tc>
        <w:tc>
          <w:tcPr>
            <w:tcW w:type="dxa" w:w="144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0.22%</w:t>
            </w:r>
          </w:p>
        </w:tc>
        <w:tc>
          <w:tcPr>
            <w:tcW w:type="dxa" w:w="151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-0.22%</w:t>
            </w:r>
          </w:p>
        </w:tc>
      </w:tr>
      <w:tr>
        <w:tc>
          <w:tcPr>
            <w:tcW w:type="dxa" w:w="2232"/>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Portfolio Return - Net</w:t>
            </w:r>
          </w:p>
        </w:tc>
        <w:tc>
          <w:tcPr>
            <w:tcW w:type="dxa" w:w="165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0.00%</w:t>
            </w:r>
          </w:p>
        </w:tc>
        <w:tc>
          <w:tcPr>
            <w:tcW w:type="dxa" w:w="1512"/>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0.00%</w:t>
            </w:r>
          </w:p>
        </w:tc>
        <w:tc>
          <w:tcPr>
            <w:tcW w:type="dxa" w:w="165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-3.40%</w:t>
            </w:r>
          </w:p>
        </w:tc>
        <w:tc>
          <w:tcPr>
            <w:tcW w:type="dxa" w:w="144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0.22%</w:t>
            </w:r>
          </w:p>
        </w:tc>
        <w:tc>
          <w:tcPr>
            <w:tcW w:type="dxa" w:w="1512"/>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-0.22%</w:t>
            </w:r>
          </w:p>
        </w:tc>
      </w:tr>
      <w:tr>
        <w:tc>
          <w:tcPr>
            <w:tcW w:type="dxa" w:w="223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Opening Market Value</w:t>
            </w:r>
          </w:p>
        </w:tc>
        <w:tc>
          <w:tcPr>
            <w:tcW w:type="dxa" w:w="165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USD 6,272.74</w:t>
            </w:r>
          </w:p>
        </w:tc>
        <w:tc>
          <w:tcPr>
            <w:tcW w:type="dxa" w:w="151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USD 6,272.74</w:t>
            </w:r>
          </w:p>
        </w:tc>
        <w:tc>
          <w:tcPr>
            <w:tcW w:type="dxa" w:w="165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USD 6,493.60</w:t>
            </w:r>
          </w:p>
        </w:tc>
        <w:tc>
          <w:tcPr>
            <w:tcW w:type="dxa" w:w="144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5"/>
              </w:rPr>
              <w:t/>
            </w:r>
          </w:p>
        </w:tc>
        <w:tc>
          <w:tcPr>
            <w:tcW w:type="dxa" w:w="151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5"/>
              </w:rPr>
              <w:t/>
            </w:r>
          </w:p>
        </w:tc>
      </w:tr>
      <w:tr>
        <w:tc>
          <w:tcPr>
            <w:tcW w:type="dxa" w:w="2232"/>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Closing Market Value</w:t>
            </w:r>
          </w:p>
        </w:tc>
        <w:tc>
          <w:tcPr>
            <w:tcW w:type="dxa" w:w="165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USD 6,272.74</w:t>
            </w:r>
          </w:p>
        </w:tc>
        <w:tc>
          <w:tcPr>
            <w:tcW w:type="dxa" w:w="1512"/>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USD 6,272.74</w:t>
            </w:r>
          </w:p>
        </w:tc>
        <w:tc>
          <w:tcPr>
            <w:tcW w:type="dxa" w:w="165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USD 6,272.74</w:t>
            </w:r>
          </w:p>
        </w:tc>
        <w:tc>
          <w:tcPr>
            <w:tcW w:type="dxa" w:w="144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5"/>
              </w:rPr>
              <w:t/>
            </w:r>
          </w:p>
        </w:tc>
        <w:tc>
          <w:tcPr>
            <w:tcW w:type="dxa" w:w="1512"/>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5"/>
              </w:rPr>
              <w:t/>
            </w:r>
          </w:p>
        </w:tc>
      </w:tr>
      <w:tr>
        <w:tc>
          <w:tcPr>
            <w:tcW w:type="dxa" w:w="223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Net Contributions / Withdrawals</w:t>
            </w:r>
          </w:p>
        </w:tc>
        <w:tc>
          <w:tcPr>
            <w:tcW w:type="dxa" w:w="165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USD 0.00</w:t>
            </w:r>
          </w:p>
        </w:tc>
        <w:tc>
          <w:tcPr>
            <w:tcW w:type="dxa" w:w="151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USD 0.00</w:t>
            </w:r>
          </w:p>
        </w:tc>
        <w:tc>
          <w:tcPr>
            <w:tcW w:type="dxa" w:w="165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USD 0.00</w:t>
            </w:r>
          </w:p>
        </w:tc>
        <w:tc>
          <w:tcPr>
            <w:tcW w:type="dxa" w:w="144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5"/>
              </w:rPr>
              <w:t/>
            </w:r>
          </w:p>
        </w:tc>
        <w:tc>
          <w:tcPr>
            <w:tcW w:type="dxa" w:w="151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5"/>
              </w:rPr>
              <w:t/>
            </w:r>
          </w:p>
        </w:tc>
      </w:tr>
      <w:tr>
        <w:tc>
          <w:tcPr>
            <w:tcW w:type="dxa" w:w="2232"/>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Realised P&amp;L</w:t>
            </w:r>
          </w:p>
        </w:tc>
        <w:tc>
          <w:tcPr>
            <w:tcW w:type="dxa" w:w="165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USD 0.00</w:t>
            </w:r>
          </w:p>
        </w:tc>
        <w:tc>
          <w:tcPr>
            <w:tcW w:type="dxa" w:w="1512"/>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USD 0.00</w:t>
            </w:r>
          </w:p>
        </w:tc>
        <w:tc>
          <w:tcPr>
            <w:tcW w:type="dxa" w:w="165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USD 0.00</w:t>
            </w:r>
          </w:p>
        </w:tc>
        <w:tc>
          <w:tcPr>
            <w:tcW w:type="dxa" w:w="144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5"/>
              </w:rPr>
              <w:t/>
            </w:r>
          </w:p>
        </w:tc>
        <w:tc>
          <w:tcPr>
            <w:tcW w:type="dxa" w:w="1512"/>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5"/>
              </w:rPr>
              <w:t/>
            </w:r>
          </w:p>
        </w:tc>
      </w:tr>
      <w:tr>
        <w:tc>
          <w:tcPr>
            <w:tcW w:type="dxa" w:w="223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Unrealised P&amp;L</w:t>
            </w:r>
          </w:p>
        </w:tc>
        <w:tc>
          <w:tcPr>
            <w:tcW w:type="dxa" w:w="165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USD 21.20</w:t>
            </w:r>
          </w:p>
        </w:tc>
        <w:tc>
          <w:tcPr>
            <w:tcW w:type="dxa" w:w="151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USD 21.20</w:t>
            </w:r>
          </w:p>
        </w:tc>
        <w:tc>
          <w:tcPr>
            <w:tcW w:type="dxa" w:w="165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USD 21.20</w:t>
            </w:r>
          </w:p>
        </w:tc>
        <w:tc>
          <w:tcPr>
            <w:tcW w:type="dxa" w:w="144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5"/>
              </w:rPr>
              <w:t/>
            </w:r>
          </w:p>
        </w:tc>
        <w:tc>
          <w:tcPr>
            <w:tcW w:type="dxa" w:w="151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5"/>
              </w:rPr>
              <w:t/>
            </w:r>
          </w:p>
        </w:tc>
      </w:tr>
    </w:tbl>
    <w:p>
      <w:pPr>
        <w:pStyle w:val="Heading1"/>
        <w:keepLines/>
      </w:pPr>
      <w:r>
        <w:rPr>
          <w:rFonts w:ascii="Aptos" w:hAnsi="Aptos" w:eastAsia="Aptos"/>
          <w:b/>
          <w:i w:val="0"/>
          <w:color w:val="07182B"/>
          <w:sz w:val="32"/>
        </w:rPr>
        <w:t>4. Return Calculation Methodology</w:t>
      </w:r>
    </w:p>
    <w:tbl>
      <w:tblPr>
        <w:tblStyle w:val="TableGrid"/>
        <w:tblW w:type="auto" w:w="0"/>
        <w:jc w:val="center"/>
        <w:tblLook w:firstColumn="1" w:firstRow="1" w:lastColumn="0" w:lastRow="0" w:noHBand="0" w:noVBand="1" w:val="04A0"/>
      </w:tblPr>
      <w:tblGrid>
        <w:gridCol w:w="5256"/>
        <w:gridCol w:w="5256"/>
      </w:tblGrid>
      <w:tr>
        <w:trPr>
          <w:tblHeader w:val="true"/>
        </w:trPr>
        <w:tc>
          <w:tcPr>
            <w:tcW w:type="dxa" w:w="3024"/>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6"/>
              </w:rPr>
              <w:t>Field</w:t>
            </w:r>
          </w:p>
        </w:tc>
        <w:tc>
          <w:tcPr>
            <w:tcW w:type="dxa" w:w="6336"/>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6"/>
              </w:rPr>
              <w:t>Approved Basis</w:t>
            </w:r>
          </w:p>
        </w:tc>
      </w:tr>
      <w:tr>
        <w:tc>
          <w:tcPr>
            <w:tcW w:type="dxa" w:w="302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6"/>
              </w:rPr>
              <w:t>Return Method</w:t>
            </w:r>
          </w:p>
        </w:tc>
        <w:tc>
          <w:tcPr>
            <w:tcW w:type="dxa" w:w="633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6"/>
                <w:highlight w:val="yellow"/>
              </w:rPr>
              <w:t xml:space="preserve">Time-Weighted Return (NAV-based)</w:t>
            </w:r>
          </w:p>
        </w:tc>
      </w:tr>
      <w:tr>
        <w:tc>
          <w:tcPr>
            <w:tcW w:type="dxa" w:w="302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6"/>
              </w:rPr>
              <w:t>Gross / Net Basis</w:t>
            </w:r>
          </w:p>
        </w:tc>
        <w:tc>
          <w:tcPr>
            <w:tcW w:type="dxa" w:w="633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6"/>
                <w:highlight w:val="yellow"/>
              </w:rPr>
              <w:t xml:space="preserve">Net return deducts management fees accrued in period</w:t>
            </w:r>
          </w:p>
        </w:tc>
      </w:tr>
      <w:tr>
        <w:tc>
          <w:tcPr>
            <w:tcW w:type="dxa" w:w="302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6"/>
              </w:rPr>
              <w:t>Income Treatment</w:t>
            </w:r>
          </w:p>
        </w:tc>
        <w:tc>
          <w:tcPr>
            <w:tcW w:type="dxa" w:w="633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6"/>
                <w:highlight w:val="yellow"/>
              </w:rPr>
              <w:t xml:space="preserve">Cash basis</w:t>
            </w:r>
          </w:p>
        </w:tc>
      </w:tr>
      <w:tr>
        <w:tc>
          <w:tcPr>
            <w:tcW w:type="dxa" w:w="302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6"/>
              </w:rPr>
              <w:t>FX Treatment</w:t>
            </w:r>
          </w:p>
        </w:tc>
        <w:tc>
          <w:tcPr>
            <w:tcW w:type="dxa" w:w="633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6"/>
                <w:highlight w:val="yellow"/>
              </w:rPr>
              <w:t xml:space="preserve">ZIMRATE</w:t>
            </w:r>
          </w:p>
        </w:tc>
      </w:tr>
      <w:tr>
        <w:tc>
          <w:tcPr>
            <w:tcW w:type="dxa" w:w="302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6"/>
              </w:rPr>
              <w:t>Benchmark Basis</w:t>
            </w:r>
          </w:p>
        </w:tc>
        <w:tc>
          <w:tcPr>
            <w:tcW w:type="dxa" w:w="633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6"/>
                <w:highlight w:val="yellow"/>
              </w:rPr>
              <w:t xml:space="preserve">Model portfolio / holdings-weighted proxy</w:t>
            </w:r>
          </w:p>
        </w:tc>
      </w:tr>
      <w:tr>
        <w:tc>
          <w:tcPr>
            <w:tcW w:type="dxa" w:w="302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6"/>
              </w:rPr>
              <w:t>Material Cash Flow Treatment</w:t>
            </w:r>
          </w:p>
        </w:tc>
        <w:tc>
          <w:tcPr>
            <w:tcW w:type="dxa" w:w="633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6"/>
                <w:highlight w:val="yellow"/>
              </w:rPr>
              <w:t xml:space="preserve">Material flows from trade settlements and capital calls</w:t>
            </w:r>
          </w:p>
        </w:tc>
      </w:tr>
      <w:tr>
        <w:tc>
          <w:tcPr>
            <w:tcW w:type="dxa" w:w="302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6"/>
              </w:rPr>
              <w:t>Pricing Source</w:t>
            </w:r>
          </w:p>
        </w:tc>
        <w:tc>
          <w:tcPr>
            <w:tcW w:type="dxa" w:w="633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6"/>
                <w:highlight w:val="yellow"/>
              </w:rPr>
              <w:t xml:space="preserve">Stock Price Collector / approved manual ticks</w:t>
            </w:r>
          </w:p>
        </w:tc>
      </w:tr>
      <w:tr>
        <w:tc>
          <w:tcPr>
            <w:tcW w:type="dxa" w:w="302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6"/>
              </w:rPr>
              <w:t>Performance Approval Date</w:t>
            </w:r>
          </w:p>
        </w:tc>
        <w:tc>
          <w:tcPr>
            <w:tcW w:type="dxa" w:w="633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6"/>
                <w:highlight w:val="yellow"/>
              </w:rPr>
              <w:t xml:space="preserve">2026-07-08</w:t>
            </w:r>
          </w:p>
        </w:tc>
      </w:tr>
    </w:tbl>
    <w:p>
      <w:pPr>
        <w:pStyle w:val="Heading1"/>
        <w:keepLines/>
      </w:pPr>
      <w:r>
        <w:rPr>
          <w:rFonts w:ascii="Aptos" w:hAnsi="Aptos" w:eastAsia="Aptos"/>
          <w:b/>
          <w:i w:val="0"/>
          <w:color w:val="07182B"/>
          <w:sz w:val="32"/>
        </w:rPr>
        <w:t>5. Periodic Performance Summary</w:t>
      </w:r>
    </w:p>
    <w:tbl>
      <w:tblPr>
        <w:tblW w:type="auto" w:w="0"/>
        <w:jc w:val="center"/>
        <w:tblLayout w:type="autofit"/>
        <w:tblLook w:firstColumn="1" w:firstRow="1" w:lastColumn="0" w:lastRow="0" w:noHBand="0" w:noVBand="1" w:val="04A0"/>
      </w:tblPr>
      <w:tblGrid>
        <w:gridCol w:w="10512"/>
      </w:tblGrid>
      <w:tr>
        <w:tc>
          <w:tcPr>
            <w:tcW w:type="dxa" w:w="10512"/>
            <w:shd w:fill="EAF4FF"/>
            <w:tcBorders>
              <w:top w:sz="6" w:val="single" w:color="9CC7F0"/>
              <w:left w:sz="6" w:val="single" w:color="9CC7F0"/>
              <w:bottom w:sz="6" w:val="single" w:color="9CC7F0"/>
              <w:right w:sz="6" w:val="single" w:color="9CC7F0"/>
            </w:tcBorders>
          </w:tcPr>
          <w:p>
            <w:pPr>
              <w:spacing w:before="0" w:after="0" w:line="240" w:lineRule="auto"/>
            </w:pPr>
            <w:r>
              <w:rPr>
                <w:rFonts w:ascii="Aptos" w:hAnsi="Aptos" w:eastAsia="Aptos"/>
                <w:b/>
                <w:i w:val="0"/>
                <w:color w:val="1E88E5"/>
                <w:sz w:val="17"/>
              </w:rPr>
              <w:t xml:space="preserve">INSTRUCTION: </w:t>
            </w:r>
            <w:r>
              <w:rPr>
                <w:rFonts w:ascii="Aptos" w:hAnsi="Aptos" w:eastAsia="Aptos"/>
                <w:b w:val="0"/>
                <w:i w:val="0"/>
                <w:color w:val="44546A"/>
                <w:sz w:val="17"/>
              </w:rPr>
              <w:t>Use this section for monthly or quarterly performance comparison. Add or remove rows based on the reporting period, but retain the benchmark and excess return columns.</w:t>
            </w:r>
          </w:p>
        </w:tc>
      </w:tr>
    </w:tbl>
    <w:tbl>
      <w:tblPr>
        <w:tblStyle w:val="TableGrid"/>
        <w:tblW w:type="auto" w:w="0"/>
        <w:jc w:val="center"/>
        <w:tblLook w:firstColumn="1" w:firstRow="1" w:lastColumn="0" w:lastRow="0" w:noHBand="0" w:noVBand="1" w:val="04A0"/>
      </w:tblPr>
      <w:tblGrid>
        <w:gridCol w:w="1051"/>
        <w:gridCol w:w="1051"/>
        <w:gridCol w:w="1051"/>
        <w:gridCol w:w="1051"/>
        <w:gridCol w:w="1051"/>
        <w:gridCol w:w="1051"/>
        <w:gridCol w:w="1051"/>
        <w:gridCol w:w="1051"/>
        <w:gridCol w:w="1051"/>
        <w:gridCol w:w="1051"/>
      </w:tblGrid>
      <w:tr>
        <w:trPr>
          <w:tblHeader w:val="true"/>
        </w:trPr>
        <w:tc>
          <w:tcPr>
            <w:tcW w:type="dxa" w:w="1008"/>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Period</w:t>
            </w:r>
          </w:p>
        </w:tc>
        <w:tc>
          <w:tcPr>
            <w:tcW w:type="dxa" w:w="1051"/>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Opening Value</w:t>
            </w:r>
          </w:p>
        </w:tc>
        <w:tc>
          <w:tcPr>
            <w:tcW w:type="dxa" w:w="1008"/>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Net Cash Flow</w:t>
            </w:r>
          </w:p>
        </w:tc>
        <w:tc>
          <w:tcPr>
            <w:tcW w:type="dxa" w:w="864"/>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Income</w:t>
            </w:r>
          </w:p>
        </w:tc>
        <w:tc>
          <w:tcPr>
            <w:tcW w:type="dxa" w:w="979"/>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Realised P&amp;L</w:t>
            </w:r>
          </w:p>
        </w:tc>
        <w:tc>
          <w:tcPr>
            <w:tcW w:type="dxa" w:w="1037"/>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Unrealised P&amp;L</w:t>
            </w:r>
          </w:p>
        </w:tc>
        <w:tc>
          <w:tcPr>
            <w:tcW w:type="dxa" w:w="1051"/>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Closing Value</w:t>
            </w:r>
          </w:p>
        </w:tc>
        <w:tc>
          <w:tcPr>
            <w:tcW w:type="dxa" w:w="1037"/>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Portfolio Return</w:t>
            </w:r>
          </w:p>
        </w:tc>
        <w:tc>
          <w:tcPr>
            <w:tcW w:type="dxa" w:w="907"/>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Benchmark</w:t>
            </w:r>
          </w:p>
        </w:tc>
        <w:tc>
          <w:tcPr>
            <w:tcW w:type="dxa" w:w="821"/>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Excess</w:t>
            </w:r>
          </w:p>
        </w:tc>
      </w:tr>
      <w:tr>
        <w:tc>
          <w:tcPr>
            <w:tcW w:type="dxa" w:w="100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Jan 2026</w:t>
            </w:r>
          </w:p>
        </w:tc>
        <w:tc>
          <w:tcPr>
            <w:tcW w:type="dxa" w:w="1051"/>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USD 6,272.74</w:t>
            </w:r>
          </w:p>
        </w:tc>
        <w:tc>
          <w:tcPr>
            <w:tcW w:type="dxa" w:w="100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USD 0.00</w:t>
            </w:r>
          </w:p>
        </w:tc>
        <w:tc>
          <w:tcPr>
            <w:tcW w:type="dxa" w:w="86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USD 0.00</w:t>
            </w:r>
          </w:p>
        </w:tc>
        <w:tc>
          <w:tcPr>
            <w:tcW w:type="dxa" w:w="979"/>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USD 253.20</w:t>
            </w:r>
          </w:p>
        </w:tc>
        <w:tc>
          <w:tcPr>
            <w:tcW w:type="dxa" w:w="1037"/>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USD 23.20</w:t>
            </w:r>
          </w:p>
        </w:tc>
        <w:tc>
          <w:tcPr>
            <w:tcW w:type="dxa" w:w="1051"/>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USD 6,272.74</w:t>
            </w:r>
          </w:p>
        </w:tc>
        <w:tc>
          <w:tcPr>
            <w:tcW w:type="dxa" w:w="1037"/>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0.00%</w:t>
            </w:r>
          </w:p>
        </w:tc>
        <w:tc>
          <w:tcPr>
            <w:tcW w:type="dxa" w:w="907"/>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0.22%</w:t>
            </w:r>
          </w:p>
        </w:tc>
        <w:tc>
          <w:tcPr>
            <w:tcW w:type="dxa" w:w="821"/>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-0.22%</w:t>
            </w:r>
          </w:p>
        </w:tc>
      </w:tr>
      <w:tr>
        <w:tc>
          <w:tcPr>
            <w:tcW w:type="dxa" w:w="100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Feb 2026</w:t>
            </w:r>
          </w:p>
        </w:tc>
        <w:tc>
          <w:tcPr>
            <w:tcW w:type="dxa" w:w="1051"/>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USD 6,272.74</w:t>
            </w:r>
          </w:p>
        </w:tc>
        <w:tc>
          <w:tcPr>
            <w:tcW w:type="dxa" w:w="100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USD 0.00</w:t>
            </w:r>
          </w:p>
        </w:tc>
        <w:tc>
          <w:tcPr>
            <w:tcW w:type="dxa" w:w="86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USD 0.00</w:t>
            </w:r>
          </w:p>
        </w:tc>
        <w:tc>
          <w:tcPr>
            <w:tcW w:type="dxa" w:w="979"/>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USD 0.00</w:t>
            </w:r>
          </w:p>
        </w:tc>
        <w:tc>
          <w:tcPr>
            <w:tcW w:type="dxa" w:w="1037"/>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USD -2.00</w:t>
            </w:r>
          </w:p>
        </w:tc>
        <w:tc>
          <w:tcPr>
            <w:tcW w:type="dxa" w:w="1051"/>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USD 6,272.74</w:t>
            </w:r>
          </w:p>
        </w:tc>
        <w:tc>
          <w:tcPr>
            <w:tcW w:type="dxa" w:w="1037"/>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0.00%</w:t>
            </w:r>
          </w:p>
        </w:tc>
        <w:tc>
          <w:tcPr>
            <w:tcW w:type="dxa" w:w="907"/>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0.22%</w:t>
            </w:r>
          </w:p>
        </w:tc>
        <w:tc>
          <w:tcPr>
            <w:tcW w:type="dxa" w:w="821"/>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-0.22%</w:t>
            </w:r>
          </w:p>
        </w:tc>
      </w:tr>
      <w:tr>
        <w:tc>
          <w:tcPr>
            <w:tcW w:type="dxa" w:w="100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Mar 2026</w:t>
            </w:r>
          </w:p>
        </w:tc>
        <w:tc>
          <w:tcPr>
            <w:tcW w:type="dxa" w:w="1051"/>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USD 6,272.74</w:t>
            </w:r>
          </w:p>
        </w:tc>
        <w:tc>
          <w:tcPr>
            <w:tcW w:type="dxa" w:w="100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USD 0.00</w:t>
            </w:r>
          </w:p>
        </w:tc>
        <w:tc>
          <w:tcPr>
            <w:tcW w:type="dxa" w:w="86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USD 0.00</w:t>
            </w:r>
          </w:p>
        </w:tc>
        <w:tc>
          <w:tcPr>
            <w:tcW w:type="dxa" w:w="979"/>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USD 253.20</w:t>
            </w:r>
          </w:p>
        </w:tc>
        <w:tc>
          <w:tcPr>
            <w:tcW w:type="dxa" w:w="1037"/>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USD 0.00</w:t>
            </w:r>
          </w:p>
        </w:tc>
        <w:tc>
          <w:tcPr>
            <w:tcW w:type="dxa" w:w="1051"/>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USD 6,272.74</w:t>
            </w:r>
          </w:p>
        </w:tc>
        <w:tc>
          <w:tcPr>
            <w:tcW w:type="dxa" w:w="1037"/>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0.00%</w:t>
            </w:r>
          </w:p>
        </w:tc>
        <w:tc>
          <w:tcPr>
            <w:tcW w:type="dxa" w:w="907"/>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0.22%</w:t>
            </w:r>
          </w:p>
        </w:tc>
        <w:tc>
          <w:tcPr>
            <w:tcW w:type="dxa" w:w="821"/>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-0.22%</w:t>
            </w:r>
          </w:p>
        </w:tc>
      </w:tr>
      <w:tr>
        <w:tc>
          <w:tcPr>
            <w:tcW w:type="dxa" w:w="100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3"/>
              </w:rPr>
              <w:t>Total / Quarter</w:t>
            </w:r>
          </w:p>
        </w:tc>
        <w:tc>
          <w:tcPr>
            <w:tcW w:type="dxa" w:w="1051"/>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USD 6,272.74</w:t>
            </w:r>
          </w:p>
        </w:tc>
        <w:tc>
          <w:tcPr>
            <w:tcW w:type="dxa" w:w="100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USD 0.00</w:t>
            </w:r>
          </w:p>
        </w:tc>
        <w:tc>
          <w:tcPr>
            <w:tcW w:type="dxa" w:w="86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USD 0.00</w:t>
            </w:r>
          </w:p>
        </w:tc>
        <w:tc>
          <w:tcPr>
            <w:tcW w:type="dxa" w:w="979"/>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USD 0.00</w:t>
            </w:r>
          </w:p>
        </w:tc>
        <w:tc>
          <w:tcPr>
            <w:tcW w:type="dxa" w:w="1037"/>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USD 21.20</w:t>
            </w:r>
          </w:p>
        </w:tc>
        <w:tc>
          <w:tcPr>
            <w:tcW w:type="dxa" w:w="1051"/>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USD 6,272.74</w:t>
            </w:r>
          </w:p>
        </w:tc>
        <w:tc>
          <w:tcPr>
            <w:tcW w:type="dxa" w:w="1037"/>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0.00%</w:t>
            </w:r>
          </w:p>
        </w:tc>
        <w:tc>
          <w:tcPr>
            <w:tcW w:type="dxa" w:w="907"/>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0.22%</w:t>
            </w:r>
          </w:p>
        </w:tc>
        <w:tc>
          <w:tcPr>
            <w:tcW w:type="dxa" w:w="821"/>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-0.22%</w:t>
            </w:r>
          </w:p>
        </w:tc>
      </w:tr>
    </w:tbl>
    <w:p>
      <w:pPr>
        <w:pStyle w:val="Heading1"/>
        <w:keepLines/>
      </w:pPr>
      <w:r>
        <w:rPr>
          <w:rFonts w:ascii="Aptos" w:hAnsi="Aptos" w:eastAsia="Aptos"/>
          <w:b/>
          <w:i w:val="0"/>
          <w:color w:val="07182B"/>
          <w:sz w:val="32"/>
        </w:rPr>
        <w:t>6. Benchmark Comparison and Attribution</w:t>
      </w:r>
    </w:p>
    <w:p>
      <w:pPr>
        <w:spacing w:before="0" w:after="120" w:line="240" w:lineRule="auto"/>
      </w:pPr>
      <w:r>
        <w:rPr>
          <w:rFonts w:ascii="Aptos" w:hAnsi="Aptos" w:eastAsia="Aptos"/>
          <w:b w:val="0"/>
          <w:i w:val="0"/>
        </w:rPr>
        <w:t xml:space="preserve">For the reporting period, the portfolio returned </w:t>
      </w:r>
      <w:r>
        <w:rPr>
          <w:rFonts w:ascii="Aptos" w:hAnsi="Aptos" w:eastAsia="Aptos"/>
          <w:b w:val="0"/>
          <w:highlight w:val="yellow"/>
        </w:rPr>
        <w:t xml:space="preserve">0.00%</w:t>
      </w:r>
      <w:r>
        <w:rPr>
          <w:rFonts w:ascii="Aptos" w:hAnsi="Aptos" w:eastAsia="Aptos"/>
          <w:b w:val="0"/>
          <w:i w:val="0"/>
        </w:rPr>
        <w:t xml:space="preserve"> compared with the benchmark return of </w:t>
      </w:r>
      <w:r>
        <w:rPr>
          <w:rFonts w:ascii="Aptos" w:hAnsi="Aptos" w:eastAsia="Aptos"/>
          <w:b w:val="0"/>
          <w:highlight w:val="yellow"/>
        </w:rPr>
        <w:t xml:space="preserve">0.22%</w:t>
      </w:r>
      <w:r>
        <w:rPr>
          <w:rFonts w:ascii="Aptos" w:hAnsi="Aptos" w:eastAsia="Aptos"/>
          <w:b w:val="0"/>
          <w:i w:val="0"/>
        </w:rPr>
        <w:t xml:space="preserve">, resulting in an excess / shortfall of </w:t>
      </w:r>
      <w:r>
        <w:rPr>
          <w:rFonts w:ascii="Aptos" w:hAnsi="Aptos" w:eastAsia="Aptos"/>
          <w:b w:val="0"/>
          <w:highlight w:val="yellow"/>
        </w:rPr>
        <w:t xml:space="preserve">-0.22%</w:t>
      </w:r>
      <w:r>
        <w:rPr>
          <w:rFonts w:ascii="Aptos" w:hAnsi="Aptos" w:eastAsia="Aptos"/>
          <w:b w:val="0"/>
          <w:i w:val="0"/>
        </w:rPr>
        <w:t>. Key drivers of relative performance are summarised below.</w:t>
      </w:r>
    </w:p>
    <w:tbl>
      <w:tblPr>
        <w:tblStyle w:val="TableGrid"/>
        <w:tblW w:type="auto" w:w="0"/>
        <w:jc w:val="center"/>
        <w:tblLook w:firstColumn="1" w:firstRow="1" w:lastColumn="0" w:lastRow="0" w:noHBand="0" w:noVBand="1" w:val="04A0"/>
      </w:tblPr>
      <w:tblGrid>
        <w:gridCol w:w="1314"/>
        <w:gridCol w:w="1314"/>
        <w:gridCol w:w="1314"/>
        <w:gridCol w:w="1314"/>
        <w:gridCol w:w="1314"/>
        <w:gridCol w:w="1314"/>
        <w:gridCol w:w="1314"/>
        <w:gridCol w:w="1314"/>
      </w:tblGrid>
      <w:tr>
        <w:trPr>
          <w:tblHeader w:val="true"/>
        </w:trPr>
        <w:tc>
          <w:tcPr>
            <w:tcW w:type="dxa" w:w="1368"/>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Driver</w:t>
            </w:r>
          </w:p>
        </w:tc>
        <w:tc>
          <w:tcPr>
            <w:tcW w:type="dxa" w:w="1080"/>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Portfolio Weight</w:t>
            </w:r>
          </w:p>
        </w:tc>
        <w:tc>
          <w:tcPr>
            <w:tcW w:type="dxa" w:w="1080"/>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Benchmark Weight</w:t>
            </w:r>
          </w:p>
        </w:tc>
        <w:tc>
          <w:tcPr>
            <w:tcW w:type="dxa" w:w="1080"/>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Allocation Effect</w:t>
            </w:r>
          </w:p>
        </w:tc>
        <w:tc>
          <w:tcPr>
            <w:tcW w:type="dxa" w:w="1080"/>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Selection Effect</w:t>
            </w:r>
          </w:p>
        </w:tc>
        <w:tc>
          <w:tcPr>
            <w:tcW w:type="dxa" w:w="1008"/>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Currency Effect</w:t>
            </w:r>
          </w:p>
        </w:tc>
        <w:tc>
          <w:tcPr>
            <w:tcW w:type="dxa" w:w="1008"/>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Total Effect</w:t>
            </w:r>
          </w:p>
        </w:tc>
        <w:tc>
          <w:tcPr>
            <w:tcW w:type="dxa" w:w="2088"/>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Commentary</w:t>
            </w:r>
          </w:p>
        </w:tc>
      </w:tr>
      <w:tr>
        <w:tc>
          <w:tcPr>
            <w:tcW w:type="dxa" w:w="136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ZSE</w:t>
            </w:r>
          </w:p>
        </w:tc>
        <w:tc>
          <w:tcPr>
            <w:tcW w:type="dxa" w:w="108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99.96%</w:t>
            </w:r>
          </w:p>
        </w:tc>
        <w:tc>
          <w:tcPr>
            <w:tcW w:type="dxa" w:w="108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99.96%</w:t>
            </w:r>
          </w:p>
        </w:tc>
        <w:tc>
          <w:tcPr>
            <w:tcW w:type="dxa" w:w="108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0.00%</w:t>
            </w:r>
          </w:p>
        </w:tc>
        <w:tc>
          <w:tcPr>
            <w:tcW w:type="dxa" w:w="108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-0.11%</w:t>
            </w:r>
          </w:p>
        </w:tc>
        <w:tc>
          <w:tcPr>
            <w:tcW w:type="dxa" w:w="100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0.00%</w:t>
            </w:r>
          </w:p>
        </w:tc>
        <w:tc>
          <w:tcPr>
            <w:tcW w:type="dxa" w:w="100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-0.11%</w:t>
            </w:r>
          </w:p>
        </w:tc>
        <w:tc>
          <w:tcPr>
            <w:tcW w:type="dxa" w:w="208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Period Jan 2026 from valuation snapshots and settlements.</w:t>
            </w:r>
          </w:p>
        </w:tc>
      </w:tr>
      <w:tr>
        <w:tc>
          <w:tcPr>
            <w:tcW w:type="dxa" w:w="136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VFEX</w:t>
            </w:r>
          </w:p>
        </w:tc>
        <w:tc>
          <w:tcPr>
            <w:tcW w:type="dxa" w:w="108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0.04%</w:t>
            </w:r>
          </w:p>
        </w:tc>
        <w:tc>
          <w:tcPr>
            <w:tcW w:type="dxa" w:w="108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0.04%</w:t>
            </w:r>
          </w:p>
        </w:tc>
        <w:tc>
          <w:tcPr>
            <w:tcW w:type="dxa" w:w="108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0.00%</w:t>
            </w:r>
          </w:p>
        </w:tc>
        <w:tc>
          <w:tcPr>
            <w:tcW w:type="dxa" w:w="108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-0.00%</w:t>
            </w:r>
          </w:p>
        </w:tc>
        <w:tc>
          <w:tcPr>
            <w:tcW w:type="dxa" w:w="100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0.00%</w:t>
            </w:r>
          </w:p>
        </w:tc>
        <w:tc>
          <w:tcPr>
            <w:tcW w:type="dxa" w:w="100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-0.00%</w:t>
            </w:r>
          </w:p>
        </w:tc>
        <w:tc>
          <w:tcPr>
            <w:tcW w:type="dxa" w:w="208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Period Feb 2026 from valuation snapshots and settlements.</w:t>
            </w:r>
          </w:p>
        </w:tc>
      </w:tr>
      <w:tr>
        <w:tc>
          <w:tcPr>
            <w:tcW w:type="dxa" w:w="136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w:t>
            </w:r>
          </w:p>
        </w:tc>
        <w:tc>
          <w:tcPr>
            <w:tcW w:type="dxa" w:w="108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0.00%</w:t>
            </w:r>
          </w:p>
        </w:tc>
        <w:tc>
          <w:tcPr>
            <w:tcW w:type="dxa" w:w="108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0.00%</w:t>
            </w:r>
          </w:p>
        </w:tc>
        <w:tc>
          <w:tcPr>
            <w:tcW w:type="dxa" w:w="108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0.00%</w:t>
            </w:r>
          </w:p>
        </w:tc>
        <w:tc>
          <w:tcPr>
            <w:tcW w:type="dxa" w:w="108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0.00%</w:t>
            </w:r>
          </w:p>
        </w:tc>
        <w:tc>
          <w:tcPr>
            <w:tcW w:type="dxa" w:w="100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0.00%</w:t>
            </w:r>
          </w:p>
        </w:tc>
        <w:tc>
          <w:tcPr>
            <w:tcW w:type="dxa" w:w="100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0.00%</w:t>
            </w:r>
          </w:p>
        </w:tc>
        <w:tc>
          <w:tcPr>
            <w:tcW w:type="dxa" w:w="208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Period Mar 2026 from valuation snapshots and settlements.</w:t>
            </w:r>
          </w:p>
        </w:tc>
      </w:tr>
      <w:tr>
        <w:tc>
          <w:tcPr>
            <w:tcW w:type="dxa" w:w="136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3"/>
              </w:rPr>
              <w:t>Total</w:t>
            </w:r>
          </w:p>
        </w:tc>
        <w:tc>
          <w:tcPr>
            <w:tcW w:type="dxa" w:w="108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100.00%</w:t>
            </w:r>
          </w:p>
        </w:tc>
        <w:tc>
          <w:tcPr>
            <w:tcW w:type="dxa" w:w="108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100.00%</w:t>
            </w:r>
          </w:p>
        </w:tc>
        <w:tc>
          <w:tcPr>
            <w:tcW w:type="dxa" w:w="108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0.00%</w:t>
            </w:r>
          </w:p>
        </w:tc>
        <w:tc>
          <w:tcPr>
            <w:tcW w:type="dxa" w:w="108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-0.11%</w:t>
            </w:r>
          </w:p>
        </w:tc>
        <w:tc>
          <w:tcPr>
            <w:tcW w:type="dxa" w:w="100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0.00%</w:t>
            </w:r>
          </w:p>
        </w:tc>
        <w:tc>
          <w:tcPr>
            <w:tcW w:type="dxa" w:w="100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-0.11%</w:t>
            </w:r>
          </w:p>
        </w:tc>
        <w:tc>
          <w:tcPr>
            <w:tcW w:type="dxa" w:w="208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Attribution by listing exchange vs model portfolio weights.</w:t>
            </w:r>
          </w:p>
        </w:tc>
      </w:tr>
    </w:tbl>
    <w:p>
      <w:r>
        <w:br w:type="page"/>
      </w:r>
    </w:p>
    <w:p>
      <w:pPr>
        <w:pStyle w:val="Heading1"/>
        <w:keepLines/>
      </w:pPr>
      <w:r>
        <w:rPr>
          <w:rFonts w:ascii="Aptos" w:hAnsi="Aptos" w:eastAsia="Aptos"/>
          <w:b/>
          <w:i w:val="0"/>
          <w:color w:val="07182B"/>
          <w:sz w:val="32"/>
        </w:rPr>
        <w:t>7. Contribution to Return</w:t>
      </w:r>
    </w:p>
    <w:tbl>
      <w:tblPr>
        <w:tblW w:type="auto" w:w="0"/>
        <w:jc w:val="center"/>
        <w:tblLayout w:type="autofit"/>
        <w:tblLook w:firstColumn="1" w:firstRow="1" w:lastColumn="0" w:lastRow="0" w:noHBand="0" w:noVBand="1" w:val="04A0"/>
      </w:tblPr>
      <w:tblGrid>
        <w:gridCol w:w="10512"/>
      </w:tblGrid>
      <w:tr>
        <w:tc>
          <w:tcPr>
            <w:tcW w:type="dxa" w:w="10512"/>
            <w:shd w:fill="EAF4FF"/>
            <w:tcBorders>
              <w:top w:sz="6" w:val="single" w:color="9CC7F0"/>
              <w:left w:sz="6" w:val="single" w:color="9CC7F0"/>
              <w:bottom w:sz="6" w:val="single" w:color="9CC7F0"/>
              <w:right w:sz="6" w:val="single" w:color="9CC7F0"/>
            </w:tcBorders>
          </w:tcPr>
          <w:p>
            <w:pPr>
              <w:spacing w:before="0" w:after="0" w:line="240" w:lineRule="auto"/>
            </w:pPr>
            <w:r>
              <w:rPr>
                <w:rFonts w:ascii="Aptos" w:hAnsi="Aptos" w:eastAsia="Aptos"/>
                <w:b/>
                <w:i w:val="0"/>
                <w:color w:val="1E88E5"/>
                <w:sz w:val="17"/>
              </w:rPr>
              <w:t xml:space="preserve">INSTRUCTION: </w:t>
            </w:r>
            <w:r>
              <w:rPr>
                <w:rFonts w:ascii="Aptos" w:hAnsi="Aptos" w:eastAsia="Aptos"/>
                <w:b w:val="0"/>
                <w:i w:val="0"/>
                <w:color w:val="44546A"/>
                <w:sz w:val="17"/>
              </w:rPr>
              <w:t>Populate top and bottom contributors from approved holdings and performance attribution records. Avoid naming securities where the client mandate or confidentiality restrictions prohibit disclosure.</w:t>
            </w:r>
          </w:p>
        </w:tc>
      </w:tr>
    </w:tbl>
    <w:tbl>
      <w:tblPr>
        <w:tblStyle w:val="TableGrid"/>
        <w:tblW w:type="auto" w:w="0"/>
        <w:jc w:val="center"/>
        <w:tblLook w:firstColumn="1" w:firstRow="1" w:lastColumn="0" w:lastRow="0" w:noHBand="0" w:noVBand="1" w:val="04A0"/>
      </w:tblPr>
      <w:tblGrid>
        <w:gridCol w:w="1314"/>
        <w:gridCol w:w="1314"/>
        <w:gridCol w:w="1314"/>
        <w:gridCol w:w="1314"/>
        <w:gridCol w:w="1314"/>
        <w:gridCol w:w="1314"/>
        <w:gridCol w:w="1314"/>
        <w:gridCol w:w="1314"/>
      </w:tblGrid>
      <w:tr>
        <w:trPr>
          <w:tblHeader w:val="true"/>
        </w:trPr>
        <w:tc>
          <w:tcPr>
            <w:tcW w:type="dxa" w:w="1512"/>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Security / Holding</w:t>
            </w:r>
          </w:p>
        </w:tc>
        <w:tc>
          <w:tcPr>
            <w:tcW w:type="dxa" w:w="1152"/>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Asset Class</w:t>
            </w:r>
          </w:p>
        </w:tc>
        <w:tc>
          <w:tcPr>
            <w:tcW w:type="dxa" w:w="936"/>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Average Weight</w:t>
            </w:r>
          </w:p>
        </w:tc>
        <w:tc>
          <w:tcPr>
            <w:tcW w:type="dxa" w:w="792"/>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Return</w:t>
            </w:r>
          </w:p>
        </w:tc>
        <w:tc>
          <w:tcPr>
            <w:tcW w:type="dxa" w:w="936"/>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Contribution</w:t>
            </w:r>
          </w:p>
        </w:tc>
        <w:tc>
          <w:tcPr>
            <w:tcW w:type="dxa" w:w="1080"/>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Realised P&amp;L</w:t>
            </w:r>
          </w:p>
        </w:tc>
        <w:tc>
          <w:tcPr>
            <w:tcW w:type="dxa" w:w="1080"/>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Unrealised P&amp;L</w:t>
            </w:r>
          </w:p>
        </w:tc>
        <w:tc>
          <w:tcPr>
            <w:tcW w:type="dxa" w:w="1944"/>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Commentary</w:t>
            </w:r>
          </w:p>
        </w:tc>
      </w:tr>
      <w:tr>
        <w:tc>
          <w:tcPr>
            <w:tcW w:type="dxa" w:w="151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ARIS</w:t>
            </w:r>
          </w:p>
        </w:tc>
        <w:tc>
          <w:tcPr>
            <w:tcW w:type="dxa" w:w="115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Equity</w:t>
            </w:r>
          </w:p>
        </w:tc>
        <w:tc>
          <w:tcPr>
            <w:tcW w:type="dxa" w:w="93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52.13%</w:t>
            </w:r>
          </w:p>
        </w:tc>
        <w:tc>
          <w:tcPr>
            <w:tcW w:type="dxa" w:w="79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0.71%</w:t>
            </w:r>
          </w:p>
        </w:tc>
        <w:tc>
          <w:tcPr>
            <w:tcW w:type="dxa" w:w="93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0.00%</w:t>
            </w:r>
          </w:p>
        </w:tc>
        <w:tc>
          <w:tcPr>
            <w:tcW w:type="dxa" w:w="108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USD 253.20</w:t>
            </w:r>
          </w:p>
        </w:tc>
        <w:tc>
          <w:tcPr>
            <w:tcW w:type="dxa" w:w="108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USD 23.20</w:t>
            </w:r>
          </w:p>
        </w:tc>
        <w:tc>
          <w:tcPr>
            <w:tcW w:type="dxa" w:w="194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ARIS: 52.13% weight, 0.71% return.</w:t>
            </w:r>
          </w:p>
        </w:tc>
      </w:tr>
      <w:tr>
        <w:tc>
          <w:tcPr>
            <w:tcW w:type="dxa" w:w="1512"/>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AFDS</w:t>
            </w:r>
          </w:p>
        </w:tc>
        <w:tc>
          <w:tcPr>
            <w:tcW w:type="dxa" w:w="1152"/>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Equity</w:t>
            </w:r>
          </w:p>
        </w:tc>
        <w:tc>
          <w:tcPr>
            <w:tcW w:type="dxa" w:w="93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47.83%</w:t>
            </w:r>
          </w:p>
        </w:tc>
        <w:tc>
          <w:tcPr>
            <w:tcW w:type="dxa" w:w="792"/>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-0.07%</w:t>
            </w:r>
          </w:p>
        </w:tc>
        <w:tc>
          <w:tcPr>
            <w:tcW w:type="dxa" w:w="93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-0.00%</w:t>
            </w:r>
          </w:p>
        </w:tc>
        <w:tc>
          <w:tcPr>
            <w:tcW w:type="dxa" w:w="108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USD 0.00</w:t>
            </w:r>
          </w:p>
        </w:tc>
        <w:tc>
          <w:tcPr>
            <w:tcW w:type="dxa" w:w="108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USD -2.00</w:t>
            </w:r>
          </w:p>
        </w:tc>
        <w:tc>
          <w:tcPr>
            <w:tcW w:type="dxa" w:w="194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AFDS</w:t>
            </w:r>
          </w:p>
        </w:tc>
      </w:tr>
      <w:tr>
        <w:tc>
          <w:tcPr>
            <w:tcW w:type="dxa" w:w="151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SEL68O9S</w:t>
            </w:r>
          </w:p>
        </w:tc>
        <w:tc>
          <w:tcPr>
            <w:tcW w:type="dxa" w:w="115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Equity</w:t>
            </w:r>
          </w:p>
        </w:tc>
        <w:tc>
          <w:tcPr>
            <w:tcW w:type="dxa" w:w="93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0.00%</w:t>
            </w:r>
          </w:p>
        </w:tc>
        <w:tc>
          <w:tcPr>
            <w:tcW w:type="dxa" w:w="79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0.00%</w:t>
            </w:r>
          </w:p>
        </w:tc>
        <w:tc>
          <w:tcPr>
            <w:tcW w:type="dxa" w:w="93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0.00%</w:t>
            </w:r>
          </w:p>
        </w:tc>
        <w:tc>
          <w:tcPr>
            <w:tcW w:type="dxa" w:w="108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USD 253.20</w:t>
            </w:r>
          </w:p>
        </w:tc>
        <w:tc>
          <w:tcPr>
            <w:tcW w:type="dxa" w:w="108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USD 0.00</w:t>
            </w:r>
          </w:p>
        </w:tc>
        <w:tc>
          <w:tcPr>
            <w:tcW w:type="dxa" w:w="194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SEL68O9S: 0.00% weight, 0.00% return.</w:t>
            </w:r>
          </w:p>
        </w:tc>
      </w:tr>
      <w:tr>
        <w:tc>
          <w:tcPr>
            <w:tcW w:type="dxa" w:w="1512"/>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SEL6CM3O</w:t>
            </w:r>
          </w:p>
        </w:tc>
        <w:tc>
          <w:tcPr>
            <w:tcW w:type="dxa" w:w="1152"/>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Equity</w:t>
            </w:r>
          </w:p>
        </w:tc>
        <w:tc>
          <w:tcPr>
            <w:tcW w:type="dxa" w:w="93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0.00%</w:t>
            </w:r>
          </w:p>
        </w:tc>
        <w:tc>
          <w:tcPr>
            <w:tcW w:type="dxa" w:w="792"/>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0.00%</w:t>
            </w:r>
          </w:p>
        </w:tc>
        <w:tc>
          <w:tcPr>
            <w:tcW w:type="dxa" w:w="93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0.00%</w:t>
            </w:r>
          </w:p>
        </w:tc>
        <w:tc>
          <w:tcPr>
            <w:tcW w:type="dxa" w:w="108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USD 253.20</w:t>
            </w:r>
          </w:p>
        </w:tc>
        <w:tc>
          <w:tcPr>
            <w:tcW w:type="dxa" w:w="108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USD 0.00</w:t>
            </w:r>
          </w:p>
        </w:tc>
        <w:tc>
          <w:tcPr>
            <w:tcW w:type="dxa" w:w="194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SEL6CM3O</w:t>
            </w:r>
          </w:p>
        </w:tc>
      </w:tr>
    </w:tbl>
    <w:p>
      <w:pPr>
        <w:pStyle w:val="Heading1"/>
        <w:keepLines/>
      </w:pPr>
      <w:r>
        <w:rPr>
          <w:rFonts w:ascii="Aptos" w:hAnsi="Aptos" w:eastAsia="Aptos"/>
          <w:b/>
          <w:i w:val="0"/>
          <w:color w:val="07182B"/>
          <w:sz w:val="32"/>
        </w:rPr>
        <w:t>8. Realised and Unrealised P&amp;L Analysis</w:t>
      </w:r>
    </w:p>
    <w:tbl>
      <w:tblPr>
        <w:tblStyle w:val="TableGrid"/>
        <w:tblW w:type="auto" w:w="0"/>
        <w:jc w:val="center"/>
        <w:tblLook w:firstColumn="1" w:firstRow="1" w:lastColumn="0" w:lastRow="0" w:noHBand="0" w:noVBand="1" w:val="04A0"/>
      </w:tblPr>
      <w:tblGrid>
        <w:gridCol w:w="2102"/>
        <w:gridCol w:w="2102"/>
        <w:gridCol w:w="2102"/>
        <w:gridCol w:w="2102"/>
        <w:gridCol w:w="2102"/>
      </w:tblGrid>
      <w:tr>
        <w:trPr>
          <w:tblHeader w:val="true"/>
        </w:trPr>
        <w:tc>
          <w:tcPr>
            <w:tcW w:type="dxa" w:w="2016"/>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5"/>
              </w:rPr>
              <w:t>P&amp;L Component</w:t>
            </w:r>
          </w:p>
        </w:tc>
        <w:tc>
          <w:tcPr>
            <w:tcW w:type="dxa" w:w="1440"/>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5"/>
              </w:rPr>
              <w:t>Current Quarter</w:t>
            </w:r>
          </w:p>
        </w:tc>
        <w:tc>
          <w:tcPr>
            <w:tcW w:type="dxa" w:w="1440"/>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5"/>
              </w:rPr>
              <w:t>Year to Date</w:t>
            </w:r>
          </w:p>
        </w:tc>
        <w:tc>
          <w:tcPr>
            <w:tcW w:type="dxa" w:w="1440"/>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5"/>
              </w:rPr>
              <w:t>Since Inception</w:t>
            </w:r>
          </w:p>
        </w:tc>
        <w:tc>
          <w:tcPr>
            <w:tcW w:type="dxa" w:w="3168"/>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5"/>
              </w:rPr>
              <w:t>Commentary</w:t>
            </w:r>
          </w:p>
        </w:tc>
      </w:tr>
      <w:tr>
        <w:tc>
          <w:tcPr>
            <w:tcW w:type="dxa" w:w="201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5"/>
              </w:rPr>
              <w:t>Realised Gains</w:t>
            </w:r>
          </w:p>
        </w:tc>
        <w:tc>
          <w:tcPr>
            <w:tcW w:type="dxa" w:w="144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USD 0.00</w:t>
            </w:r>
          </w:p>
        </w:tc>
        <w:tc>
          <w:tcPr>
            <w:tcW w:type="dxa" w:w="144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USD 0.00</w:t>
            </w:r>
          </w:p>
        </w:tc>
        <w:tc>
          <w:tcPr>
            <w:tcW w:type="dxa" w:w="144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USD 0.00</w:t>
            </w:r>
          </w:p>
        </w:tc>
        <w:tc>
          <w:tcPr>
            <w:tcW w:type="dxa" w:w="316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Realised gains from settled sales in period.</w:t>
            </w:r>
          </w:p>
        </w:tc>
      </w:tr>
      <w:tr>
        <w:tc>
          <w:tcPr>
            <w:tcW w:type="dxa" w:w="201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5"/>
              </w:rPr>
              <w:t>Realised Losses</w:t>
            </w:r>
          </w:p>
        </w:tc>
        <w:tc>
          <w:tcPr>
            <w:tcW w:type="dxa" w:w="144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USD 0.00</w:t>
            </w:r>
          </w:p>
        </w:tc>
        <w:tc>
          <w:tcPr>
            <w:tcW w:type="dxa" w:w="144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USD 0.00</w:t>
            </w:r>
          </w:p>
        </w:tc>
        <w:tc>
          <w:tcPr>
            <w:tcW w:type="dxa" w:w="144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USD 0.00</w:t>
            </w:r>
          </w:p>
        </w:tc>
        <w:tc>
          <w:tcPr>
            <w:tcW w:type="dxa" w:w="316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Realised losses from settled sales in period.</w:t>
            </w:r>
          </w:p>
        </w:tc>
      </w:tr>
      <w:tr>
        <w:tc>
          <w:tcPr>
            <w:tcW w:type="dxa" w:w="201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5"/>
              </w:rPr>
              <w:t>Unrealised Gains</w:t>
            </w:r>
          </w:p>
        </w:tc>
        <w:tc>
          <w:tcPr>
            <w:tcW w:type="dxa" w:w="144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USD 21.20</w:t>
            </w:r>
          </w:p>
        </w:tc>
        <w:tc>
          <w:tcPr>
            <w:tcW w:type="dxa" w:w="144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USD 21.20</w:t>
            </w:r>
          </w:p>
        </w:tc>
        <w:tc>
          <w:tcPr>
            <w:tcW w:type="dxa" w:w="144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USD 21.20</w:t>
            </w:r>
          </w:p>
        </w:tc>
        <w:tc>
          <w:tcPr>
            <w:tcW w:type="dxa" w:w="316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Mark-to-market gains per latest valuation.</w:t>
            </w:r>
          </w:p>
        </w:tc>
      </w:tr>
      <w:tr>
        <w:tc>
          <w:tcPr>
            <w:tcW w:type="dxa" w:w="201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5"/>
              </w:rPr>
              <w:t>Unrealised Losses</w:t>
            </w:r>
          </w:p>
        </w:tc>
        <w:tc>
          <w:tcPr>
            <w:tcW w:type="dxa" w:w="144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USD 0.00</w:t>
            </w:r>
          </w:p>
        </w:tc>
        <w:tc>
          <w:tcPr>
            <w:tcW w:type="dxa" w:w="144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USD 0.00</w:t>
            </w:r>
          </w:p>
        </w:tc>
        <w:tc>
          <w:tcPr>
            <w:tcW w:type="dxa" w:w="144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USD 0.00</w:t>
            </w:r>
          </w:p>
        </w:tc>
        <w:tc>
          <w:tcPr>
            <w:tcW w:type="dxa" w:w="316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Mark-to-market losses per latest valuation.</w:t>
            </w:r>
          </w:p>
        </w:tc>
      </w:tr>
      <w:tr>
        <w:tc>
          <w:tcPr>
            <w:tcW w:type="dxa" w:w="201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5"/>
              </w:rPr>
              <w:t>FX Gains / Losses</w:t>
            </w:r>
          </w:p>
        </w:tc>
        <w:tc>
          <w:tcPr>
            <w:tcW w:type="dxa" w:w="144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USD 0.00</w:t>
            </w:r>
          </w:p>
        </w:tc>
        <w:tc>
          <w:tcPr>
            <w:tcW w:type="dxa" w:w="144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USD 0.00</w:t>
            </w:r>
          </w:p>
        </w:tc>
        <w:tc>
          <w:tcPr>
            <w:tcW w:type="dxa" w:w="144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USD 0.00</w:t>
            </w:r>
          </w:p>
        </w:tc>
        <w:tc>
          <w:tcPr>
            <w:tcW w:type="dxa" w:w="316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FX translation at ZIMRATE; base currency USD.</w:t>
            </w:r>
          </w:p>
        </w:tc>
      </w:tr>
      <w:tr>
        <w:tc>
          <w:tcPr>
            <w:tcW w:type="dxa" w:w="201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5"/>
              </w:rPr>
              <w:t>Total P&amp;L</w:t>
            </w:r>
          </w:p>
        </w:tc>
        <w:tc>
          <w:tcPr>
            <w:tcW w:type="dxa" w:w="144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USD 21.20</w:t>
            </w:r>
          </w:p>
        </w:tc>
        <w:tc>
          <w:tcPr>
            <w:tcW w:type="dxa" w:w="144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USD 21.20</w:t>
            </w:r>
          </w:p>
        </w:tc>
        <w:tc>
          <w:tcPr>
            <w:tcW w:type="dxa" w:w="144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USD 21.20</w:t>
            </w:r>
          </w:p>
        </w:tc>
        <w:tc>
          <w:tcPr>
            <w:tcW w:type="dxa" w:w="316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Totals from approved valuation snapshots and trade settlements.</w:t>
            </w:r>
          </w:p>
        </w:tc>
      </w:tr>
    </w:tbl>
    <w:p>
      <w:pPr>
        <w:pStyle w:val="Heading1"/>
        <w:keepLines/>
      </w:pPr>
      <w:r>
        <w:rPr>
          <w:rFonts w:ascii="Aptos" w:hAnsi="Aptos" w:eastAsia="Aptos"/>
          <w:b/>
          <w:i w:val="0"/>
          <w:color w:val="07182B"/>
          <w:sz w:val="32"/>
        </w:rPr>
        <w:t>9. Income, Fees and Cash Flow Impact</w:t>
      </w:r>
    </w:p>
    <w:tbl>
      <w:tblPr>
        <w:tblStyle w:val="TableGrid"/>
        <w:tblW w:type="auto" w:w="0"/>
        <w:jc w:val="center"/>
        <w:tblLook w:firstColumn="1" w:firstRow="1" w:lastColumn="0" w:lastRow="0" w:noHBand="0" w:noVBand="1" w:val="04A0"/>
      </w:tblPr>
      <w:tblGrid>
        <w:gridCol w:w="2102"/>
        <w:gridCol w:w="2102"/>
        <w:gridCol w:w="2102"/>
        <w:gridCol w:w="2102"/>
        <w:gridCol w:w="2102"/>
      </w:tblGrid>
      <w:tr>
        <w:trPr>
          <w:tblHeader w:val="true"/>
        </w:trPr>
        <w:tc>
          <w:tcPr>
            <w:tcW w:type="dxa" w:w="1944"/>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Component</w:t>
            </w:r>
          </w:p>
        </w:tc>
        <w:tc>
          <w:tcPr>
            <w:tcW w:type="dxa" w:w="1368"/>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Amount</w:t>
            </w:r>
          </w:p>
        </w:tc>
        <w:tc>
          <w:tcPr>
            <w:tcW w:type="dxa" w:w="1296"/>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Return Impact</w:t>
            </w:r>
          </w:p>
        </w:tc>
        <w:tc>
          <w:tcPr>
            <w:tcW w:type="dxa" w:w="2304"/>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Treatment in Performance</w:t>
            </w:r>
          </w:p>
        </w:tc>
        <w:tc>
          <w:tcPr>
            <w:tcW w:type="dxa" w:w="2592"/>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Commentary</w:t>
            </w:r>
          </w:p>
        </w:tc>
      </w:tr>
      <w:tr>
        <w:tc>
          <w:tcPr>
            <w:tcW w:type="dxa" w:w="194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Dividends</w:t>
            </w:r>
          </w:p>
        </w:tc>
        <w:tc>
          <w:tcPr>
            <w:tcW w:type="dxa" w:w="136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USD 0.00</w:t>
            </w:r>
          </w:p>
        </w:tc>
        <w:tc>
          <w:tcPr>
            <w:tcW w:type="dxa" w:w="129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0.00%</w:t>
            </w:r>
          </w:p>
        </w:tc>
        <w:tc>
          <w:tcPr>
            <w:tcW w:type="dxa" w:w="230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Cash basis</w:t>
            </w:r>
          </w:p>
        </w:tc>
        <w:tc>
          <w:tcPr>
            <w:tcW w:type="dxa" w:w="259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No dividend accruals in period.</w:t>
            </w:r>
          </w:p>
        </w:tc>
      </w:tr>
      <w:tr>
        <w:tc>
          <w:tcPr>
            <w:tcW w:type="dxa" w:w="194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Coupon / Interest Income</w:t>
            </w:r>
          </w:p>
        </w:tc>
        <w:tc>
          <w:tcPr>
            <w:tcW w:type="dxa" w:w="136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USD 0.00</w:t>
            </w:r>
          </w:p>
        </w:tc>
        <w:tc>
          <w:tcPr>
            <w:tcW w:type="dxa" w:w="129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0.00%</w:t>
            </w:r>
          </w:p>
        </w:tc>
        <w:tc>
          <w:tcPr>
            <w:tcW w:type="dxa" w:w="230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Cash basis</w:t>
            </w:r>
          </w:p>
        </w:tc>
        <w:tc>
          <w:tcPr>
            <w:tcW w:type="dxa" w:w="2592"/>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No interest income accruals in period.</w:t>
            </w:r>
          </w:p>
        </w:tc>
      </w:tr>
      <w:tr>
        <w:tc>
          <w:tcPr>
            <w:tcW w:type="dxa" w:w="194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Management Fees</w:t>
            </w:r>
          </w:p>
        </w:tc>
        <w:tc>
          <w:tcPr>
            <w:tcW w:type="dxa" w:w="136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USD 0.00</w:t>
            </w:r>
          </w:p>
        </w:tc>
        <w:tc>
          <w:tcPr>
            <w:tcW w:type="dxa" w:w="129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0.00%</w:t>
            </w:r>
          </w:p>
        </w:tc>
        <w:tc>
          <w:tcPr>
            <w:tcW w:type="dxa" w:w="230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QUARTERLY</w:t>
            </w:r>
          </w:p>
        </w:tc>
        <w:tc>
          <w:tcPr>
            <w:tcW w:type="dxa" w:w="259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Management fee at 0.00% annual rate per fund policy.</w:t>
            </w:r>
          </w:p>
        </w:tc>
      </w:tr>
      <w:tr>
        <w:tc>
          <w:tcPr>
            <w:tcW w:type="dxa" w:w="194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Custody / Transaction Costs</w:t>
            </w:r>
          </w:p>
        </w:tc>
        <w:tc>
          <w:tcPr>
            <w:tcW w:type="dxa" w:w="136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USD 0.00</w:t>
            </w:r>
          </w:p>
        </w:tc>
        <w:tc>
          <w:tcPr>
            <w:tcW w:type="dxa" w:w="129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0.00%</w:t>
            </w:r>
          </w:p>
        </w:tc>
        <w:tc>
          <w:tcPr>
            <w:tcW w:type="dxa" w:w="230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Deducted from gross return for net figures</w:t>
            </w:r>
          </w:p>
        </w:tc>
        <w:tc>
          <w:tcPr>
            <w:tcW w:type="dxa" w:w="2592"/>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Trade and custody costs from settled listed equity transactions.</w:t>
            </w:r>
          </w:p>
        </w:tc>
      </w:tr>
      <w:tr>
        <w:tc>
          <w:tcPr>
            <w:tcW w:type="dxa" w:w="194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Client Contributions</w:t>
            </w:r>
          </w:p>
        </w:tc>
        <w:tc>
          <w:tcPr>
            <w:tcW w:type="dxa" w:w="136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USD 0.00</w:t>
            </w:r>
          </w:p>
        </w:tc>
        <w:tc>
          <w:tcPr>
            <w:tcW w:type="dxa" w:w="129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
            </w:r>
          </w:p>
        </w:tc>
        <w:tc>
          <w:tcPr>
            <w:tcW w:type="dxa" w:w="230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Capital calls recorded on receipt date</w:t>
            </w:r>
          </w:p>
        </w:tc>
        <w:tc>
          <w:tcPr>
            <w:tcW w:type="dxa" w:w="259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0 capital call receipt(s) in period.</w:t>
            </w:r>
          </w:p>
        </w:tc>
      </w:tr>
      <w:tr>
        <w:tc>
          <w:tcPr>
            <w:tcW w:type="dxa" w:w="194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Client Withdrawals</w:t>
            </w:r>
          </w:p>
        </w:tc>
        <w:tc>
          <w:tcPr>
            <w:tcW w:type="dxa" w:w="136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USD 0.00</w:t>
            </w:r>
          </w:p>
        </w:tc>
        <w:tc>
          <w:tcPr>
            <w:tcW w:type="dxa" w:w="129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
            </w:r>
          </w:p>
        </w:tc>
        <w:tc>
          <w:tcPr>
            <w:tcW w:type="dxa" w:w="230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Distributions recorded on payment date</w:t>
            </w:r>
          </w:p>
        </w:tc>
        <w:tc>
          <w:tcPr>
            <w:tcW w:type="dxa" w:w="2592"/>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No client withdrawals in period.</w:t>
            </w:r>
          </w:p>
        </w:tc>
      </w:tr>
    </w:tbl>
    <w:p>
      <w:r>
        <w:br w:type="page"/>
      </w:r>
    </w:p>
    <w:p>
      <w:pPr>
        <w:pStyle w:val="Heading1"/>
        <w:keepLines/>
      </w:pPr>
      <w:r>
        <w:rPr>
          <w:rFonts w:ascii="Aptos" w:hAnsi="Aptos" w:eastAsia="Aptos"/>
          <w:b/>
          <w:i w:val="0"/>
          <w:color w:val="07182B"/>
          <w:sz w:val="32"/>
        </w:rPr>
        <w:t>10. Risk and Return Metrics</w:t>
      </w:r>
    </w:p>
    <w:tbl>
      <w:tblPr>
        <w:tblW w:type="auto" w:w="0"/>
        <w:jc w:val="center"/>
        <w:tblLayout w:type="autofit"/>
        <w:tblLook w:firstColumn="1" w:firstRow="1" w:lastColumn="0" w:lastRow="0" w:noHBand="0" w:noVBand="1" w:val="04A0"/>
      </w:tblPr>
      <w:tblGrid>
        <w:gridCol w:w="10512"/>
      </w:tblGrid>
      <w:tr>
        <w:tc>
          <w:tcPr>
            <w:tcW w:type="dxa" w:w="10512"/>
            <w:shd w:fill="EAF4FF"/>
            <w:tcBorders>
              <w:top w:sz="6" w:val="single" w:color="9CC7F0"/>
              <w:left w:sz="6" w:val="single" w:color="9CC7F0"/>
              <w:bottom w:sz="6" w:val="single" w:color="9CC7F0"/>
              <w:right w:sz="6" w:val="single" w:color="9CC7F0"/>
            </w:tcBorders>
          </w:tcPr>
          <w:p>
            <w:pPr>
              <w:spacing w:before="0" w:after="0" w:line="240" w:lineRule="auto"/>
            </w:pPr>
            <w:r>
              <w:rPr>
                <w:rFonts w:ascii="Aptos" w:hAnsi="Aptos" w:eastAsia="Aptos"/>
                <w:b/>
                <w:i w:val="0"/>
                <w:color w:val="1E88E5"/>
                <w:sz w:val="17"/>
              </w:rPr>
              <w:t xml:space="preserve">INSTRUCTION: </w:t>
            </w:r>
            <w:r>
              <w:rPr>
                <w:rFonts w:ascii="Aptos" w:hAnsi="Aptos" w:eastAsia="Aptos"/>
                <w:b w:val="0"/>
                <w:i w:val="0"/>
                <w:color w:val="44546A"/>
                <w:sz w:val="17"/>
              </w:rPr>
              <w:t>Include only metrics approved for the relevant mandate. Where insufficient history exists, mark as not available and explain the limitation.</w:t>
            </w:r>
          </w:p>
        </w:tc>
      </w:tr>
    </w:tbl>
    <w:tbl>
      <w:tblPr>
        <w:tblStyle w:val="TableGrid"/>
        <w:tblW w:type="auto" w:w="0"/>
        <w:jc w:val="center"/>
        <w:tblLook w:firstColumn="1" w:firstRow="1" w:lastColumn="0" w:lastRow="0" w:noHBand="0" w:noVBand="1" w:val="04A0"/>
      </w:tblPr>
      <w:tblGrid>
        <w:gridCol w:w="1752"/>
        <w:gridCol w:w="1752"/>
        <w:gridCol w:w="1752"/>
        <w:gridCol w:w="1752"/>
        <w:gridCol w:w="1752"/>
        <w:gridCol w:w="1752"/>
      </w:tblGrid>
      <w:tr>
        <w:trPr>
          <w:tblHeader w:val="true"/>
        </w:trPr>
        <w:tc>
          <w:tcPr>
            <w:tcW w:type="dxa" w:w="1728"/>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Metric</w:t>
            </w:r>
          </w:p>
        </w:tc>
        <w:tc>
          <w:tcPr>
            <w:tcW w:type="dxa" w:w="1224"/>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Portfolio</w:t>
            </w:r>
          </w:p>
        </w:tc>
        <w:tc>
          <w:tcPr>
            <w:tcW w:type="dxa" w:w="1224"/>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Benchmark</w:t>
            </w:r>
          </w:p>
        </w:tc>
        <w:tc>
          <w:tcPr>
            <w:tcW w:type="dxa" w:w="1440"/>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Limit / Target</w:t>
            </w:r>
          </w:p>
        </w:tc>
        <w:tc>
          <w:tcPr>
            <w:tcW w:type="dxa" w:w="1008"/>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Status</w:t>
            </w:r>
          </w:p>
        </w:tc>
        <w:tc>
          <w:tcPr>
            <w:tcW w:type="dxa" w:w="2736"/>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Commentary</w:t>
            </w:r>
          </w:p>
        </w:tc>
      </w:tr>
      <w:tr>
        <w:tc>
          <w:tcPr>
            <w:tcW w:type="dxa" w:w="172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Volatility</w:t>
            </w:r>
          </w:p>
        </w:tc>
        <w:tc>
          <w:tcPr>
            <w:tcW w:type="dxa" w:w="122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56.08%</w:t>
            </w:r>
          </w:p>
        </w:tc>
        <w:tc>
          <w:tcPr>
            <w:tcW w:type="dxa" w:w="122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50.47%</w:t>
            </w:r>
          </w:p>
        </w:tc>
        <w:tc>
          <w:tcPr>
            <w:tcW w:type="dxa" w:w="144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25.00%</w:t>
            </w:r>
          </w:p>
        </w:tc>
        <w:tc>
          <w:tcPr>
            <w:tcW w:type="dxa" w:w="100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Review required</w:t>
            </w:r>
          </w:p>
        </w:tc>
        <w:tc>
          <w:tcPr>
            <w:tcW w:type="dxa" w:w="273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Annualised from approved NAV snapshot series.</w:t>
            </w:r>
          </w:p>
        </w:tc>
      </w:tr>
      <w:tr>
        <w:tc>
          <w:tcPr>
            <w:tcW w:type="dxa" w:w="172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Tracking Error</w:t>
            </w:r>
          </w:p>
        </w:tc>
        <w:tc>
          <w:tcPr>
            <w:tcW w:type="dxa" w:w="122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28.04%</w:t>
            </w:r>
          </w:p>
        </w:tc>
        <w:tc>
          <w:tcPr>
            <w:tcW w:type="dxa" w:w="122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28.04%</w:t>
            </w:r>
          </w:p>
        </w:tc>
        <w:tc>
          <w:tcPr>
            <w:tcW w:type="dxa" w:w="144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10.00%</w:t>
            </w:r>
          </w:p>
        </w:tc>
        <w:tc>
          <w:tcPr>
            <w:tcW w:type="dxa" w:w="100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Review required</w:t>
            </w:r>
          </w:p>
        </w:tc>
        <w:tc>
          <w:tcPr>
            <w:tcW w:type="dxa" w:w="273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Relative to model portfolio benchmark proxy.</w:t>
            </w:r>
          </w:p>
        </w:tc>
      </w:tr>
      <w:tr>
        <w:tc>
          <w:tcPr>
            <w:tcW w:type="dxa" w:w="172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Sharpe Ratio</w:t>
            </w:r>
          </w:p>
        </w:tc>
        <w:tc>
          <w:tcPr>
            <w:tcW w:type="dxa" w:w="122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0.21</w:t>
            </w:r>
          </w:p>
        </w:tc>
        <w:tc>
          <w:tcPr>
            <w:tcW w:type="dxa" w:w="122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0.20</w:t>
            </w:r>
          </w:p>
        </w:tc>
        <w:tc>
          <w:tcPr>
            <w:tcW w:type="dxa" w:w="144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1.00</w:t>
            </w:r>
          </w:p>
        </w:tc>
        <w:tc>
          <w:tcPr>
            <w:tcW w:type="dxa" w:w="100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Below target</w:t>
            </w:r>
          </w:p>
        </w:tc>
        <w:tc>
          <w:tcPr>
            <w:tcW w:type="dxa" w:w="273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Risk-free rate assumed 0% for reporting.</w:t>
            </w:r>
          </w:p>
        </w:tc>
      </w:tr>
      <w:tr>
        <w:tc>
          <w:tcPr>
            <w:tcW w:type="dxa" w:w="172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Information Ratio</w:t>
            </w:r>
          </w:p>
        </w:tc>
        <w:tc>
          <w:tcPr>
            <w:tcW w:type="dxa" w:w="122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0.11</w:t>
            </w:r>
          </w:p>
        </w:tc>
        <w:tc>
          <w:tcPr>
            <w:tcW w:type="dxa" w:w="122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0.10</w:t>
            </w:r>
          </w:p>
        </w:tc>
        <w:tc>
          <w:tcPr>
            <w:tcW w:type="dxa" w:w="144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0.50</w:t>
            </w:r>
          </w:p>
        </w:tc>
        <w:tc>
          <w:tcPr>
            <w:tcW w:type="dxa" w:w="100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Below target</w:t>
            </w:r>
          </w:p>
        </w:tc>
        <w:tc>
          <w:tcPr>
            <w:tcW w:type="dxa" w:w="273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Excess return per unit of tracking error.</w:t>
            </w:r>
          </w:p>
        </w:tc>
      </w:tr>
      <w:tr>
        <w:tc>
          <w:tcPr>
            <w:tcW w:type="dxa" w:w="172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Maximum Drawdown</w:t>
            </w:r>
          </w:p>
        </w:tc>
        <w:tc>
          <w:tcPr>
            <w:tcW w:type="dxa" w:w="122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50.00%</w:t>
            </w:r>
          </w:p>
        </w:tc>
        <w:tc>
          <w:tcPr>
            <w:tcW w:type="dxa" w:w="122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42.50%</w:t>
            </w:r>
          </w:p>
        </w:tc>
        <w:tc>
          <w:tcPr>
            <w:tcW w:type="dxa" w:w="144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15.00%</w:t>
            </w:r>
          </w:p>
        </w:tc>
        <w:tc>
          <w:tcPr>
            <w:tcW w:type="dxa" w:w="100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Review required</w:t>
            </w:r>
          </w:p>
        </w:tc>
        <w:tc>
          <w:tcPr>
            <w:tcW w:type="dxa" w:w="273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Peak-to-trough from NAV history.</w:t>
            </w:r>
          </w:p>
        </w:tc>
      </w:tr>
      <w:tr>
        <w:tc>
          <w:tcPr>
            <w:tcW w:type="dxa" w:w="172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Liquidity Profile</w:t>
            </w:r>
          </w:p>
        </w:tc>
        <w:tc>
          <w:tcPr>
            <w:tcW w:type="dxa" w:w="122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0.00%</w:t>
            </w:r>
          </w:p>
        </w:tc>
        <w:tc>
          <w:tcPr>
            <w:tcW w:type="dxa" w:w="122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
            </w:r>
          </w:p>
        </w:tc>
        <w:tc>
          <w:tcPr>
            <w:tcW w:type="dxa" w:w="144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20.00%</w:t>
            </w:r>
          </w:p>
        </w:tc>
        <w:tc>
          <w:tcPr>
            <w:tcW w:type="dxa" w:w="100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Monitor</w:t>
            </w:r>
          </w:p>
        </w:tc>
        <w:tc>
          <w:tcPr>
            <w:tcW w:type="dxa" w:w="273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Cash and equivalents 0.00% of NAV.</w:t>
            </w:r>
          </w:p>
        </w:tc>
      </w:tr>
    </w:tbl>
    <w:p>
      <w:pPr>
        <w:pStyle w:val="Heading1"/>
        <w:keepLines/>
      </w:pPr>
      <w:r>
        <w:rPr>
          <w:rFonts w:ascii="Aptos" w:hAnsi="Aptos" w:eastAsia="Aptos"/>
          <w:b/>
          <w:i w:val="0"/>
          <w:color w:val="07182B"/>
          <w:sz w:val="32"/>
        </w:rPr>
        <w:t>11. Portfolio Manager Commentary</w:t>
      </w:r>
    </w:p>
    <w:tbl>
      <w:tblPr>
        <w:tblW w:type="auto" w:w="0"/>
        <w:jc w:val="center"/>
        <w:tblLayout w:type="autofit"/>
        <w:tblLook w:firstColumn="1" w:firstRow="1" w:lastColumn="0" w:lastRow="0" w:noHBand="0" w:noVBand="1" w:val="04A0"/>
      </w:tblPr>
      <w:tblGrid>
        <w:gridCol w:w="10512"/>
      </w:tblGrid>
      <w:tr>
        <w:tc>
          <w:tcPr>
            <w:tcW w:type="dxa" w:w="10512"/>
            <w:shd w:fill="EAF4FF"/>
            <w:tcBorders>
              <w:top w:sz="6" w:val="single" w:color="9CC7F0"/>
              <w:left w:sz="6" w:val="single" w:color="9CC7F0"/>
              <w:bottom w:sz="6" w:val="single" w:color="9CC7F0"/>
              <w:right w:sz="6" w:val="single" w:color="9CC7F0"/>
            </w:tcBorders>
          </w:tcPr>
          <w:p>
            <w:pPr>
              <w:spacing w:before="0" w:after="0" w:line="240" w:lineRule="auto"/>
            </w:pPr>
            <w:r>
              <w:rPr>
                <w:rFonts w:ascii="Aptos" w:hAnsi="Aptos" w:eastAsia="Aptos"/>
                <w:b/>
                <w:i w:val="0"/>
                <w:color w:val="1E88E5"/>
                <w:sz w:val="17"/>
              </w:rPr>
              <w:t xml:space="preserve">INSTRUCTION: </w:t>
            </w:r>
            <w:r>
              <w:rPr>
                <w:rFonts w:ascii="Aptos" w:hAnsi="Aptos" w:eastAsia="Aptos"/>
                <w:b w:val="0"/>
                <w:i w:val="0"/>
                <w:color w:val="44546A"/>
                <w:sz w:val="17"/>
              </w:rPr>
              <w:t>Keep commentary professional, factual and consistent with the approved investment thesis, mandate, valuation records and transaction records. Do not include forward-looking promises or guaranteed-return wording.</w:t>
            </w:r>
          </w:p>
        </w:tc>
      </w:tr>
    </w:tbl>
    <w:p>
      <w:pPr>
        <w:spacing w:before="0" w:after="120" w:line="240" w:lineRule="auto"/>
      </w:pPr>
      <w:r>
        <w:rPr>
          <w:rFonts w:ascii="Aptos" w:hAnsi="Aptos" w:eastAsia="Aptos"/>
          <w:b/>
          <w:i w:val="0"/>
          <w:color w:val="07182B"/>
          <w:sz w:val="18"/>
        </w:rPr>
        <w:t xml:space="preserve">Market Context: </w:t>
      </w:r>
      <w:r>
        <w:rPr>
          <w:rFonts w:ascii="Aptos" w:hAnsi="Aptos" w:eastAsia="Aptos"/>
          <w:b w:val="0"/>
          <w:highlight w:val="yellow"/>
        </w:rPr>
        <w:t xml:space="preserve">Reporting period 2026-01-01 to 2026-03-31.</w:t>
      </w:r>
    </w:p>
    <w:p>
      <w:pPr>
        <w:spacing w:before="0" w:after="120" w:line="240" w:lineRule="auto"/>
      </w:pPr>
      <w:r>
        <w:rPr>
          <w:rFonts w:ascii="Aptos" w:hAnsi="Aptos" w:eastAsia="Aptos"/>
          <w:b/>
          <w:i w:val="0"/>
          <w:color w:val="07182B"/>
          <w:sz w:val="18"/>
        </w:rPr>
        <w:t xml:space="preserve">Portfolio Performance Drivers: </w:t>
      </w:r>
      <w:r>
        <w:rPr>
          <w:rFonts w:ascii="Aptos" w:hAnsi="Aptos" w:eastAsia="Aptos"/>
          <w:b w:val="0"/>
          <w:highlight w:val="yellow"/>
        </w:rPr>
        <w:t xml:space="preserve">QTD return 0.00% vs benchmark 0.22% (excess -0.22%).</w:t>
      </w:r>
    </w:p>
    <w:p>
      <w:pPr>
        <w:spacing w:before="0" w:after="120" w:line="240" w:lineRule="auto"/>
      </w:pPr>
      <w:r>
        <w:rPr>
          <w:rFonts w:ascii="Aptos" w:hAnsi="Aptos" w:eastAsia="Aptos"/>
          <w:b/>
          <w:i w:val="0"/>
          <w:color w:val="07182B"/>
          <w:sz w:val="18"/>
        </w:rPr>
        <w:t xml:space="preserve">Benchmark and Relative Performance: </w:t>
      </w:r>
      <w:r>
        <w:rPr>
          <w:rFonts w:ascii="Aptos" w:hAnsi="Aptos" w:eastAsia="Aptos"/>
          <w:b w:val="0"/>
          <w:highlight w:val="yellow"/>
        </w:rPr>
        <w:t xml:space="preserve">Benchmark proxy: ZSE Industrial Index (0.22% QTD).</w:t>
      </w:r>
    </w:p>
    <w:p>
      <w:pPr>
        <w:spacing w:before="0" w:after="120" w:line="240" w:lineRule="auto"/>
      </w:pPr>
      <w:r>
        <w:rPr>
          <w:rFonts w:ascii="Aptos" w:hAnsi="Aptos" w:eastAsia="Aptos"/>
          <w:b/>
          <w:i w:val="0"/>
          <w:color w:val="07182B"/>
          <w:sz w:val="18"/>
        </w:rPr>
        <w:t xml:space="preserve">Portfolio Positioning: </w:t>
      </w:r>
      <w:r>
        <w:rPr>
          <w:rFonts w:ascii="Aptos" w:hAnsi="Aptos" w:eastAsia="Aptos"/>
          <w:b w:val="0"/>
          <w:highlight w:val="yellow"/>
        </w:rPr>
        <w:t xml:space="preserve">Portfolio NAV USD 6,272.74 as at 2026-07-08; 7 positions.</w:t>
      </w:r>
    </w:p>
    <w:p>
      <w:pPr>
        <w:spacing w:before="0" w:after="120" w:line="240" w:lineRule="auto"/>
      </w:pPr>
      <w:r>
        <w:rPr>
          <w:rFonts w:ascii="Aptos" w:hAnsi="Aptos" w:eastAsia="Aptos"/>
          <w:b/>
          <w:i w:val="0"/>
          <w:color w:val="07182B"/>
          <w:sz w:val="18"/>
        </w:rPr>
        <w:t xml:space="preserve">Outlook and Actions: </w:t>
      </w:r>
      <w:r>
        <w:rPr>
          <w:rFonts w:ascii="Aptos" w:hAnsi="Aptos" w:eastAsia="Aptos"/>
          <w:b w:val="0"/>
          <w:highlight w:val="yellow"/>
        </w:rPr>
        <w:t xml:space="preserve">Portfolio managed by Admin User; next valuation per fund schedule.</w:t>
      </w:r>
    </w:p>
    <w:p>
      <w:pPr>
        <w:pStyle w:val="Heading1"/>
        <w:keepLines/>
      </w:pPr>
      <w:r>
        <w:rPr>
          <w:rFonts w:ascii="Aptos" w:hAnsi="Aptos" w:eastAsia="Aptos"/>
          <w:b/>
          <w:i w:val="0"/>
          <w:color w:val="07182B"/>
          <w:sz w:val="32"/>
        </w:rPr>
        <w:t>12. Mandate Compliance and Performance Exceptions</w:t>
      </w:r>
    </w:p>
    <w:tbl>
      <w:tblPr>
        <w:tblStyle w:val="TableGrid"/>
        <w:tblW w:type="auto" w:w="0"/>
        <w:jc w:val="center"/>
        <w:tblLook w:firstColumn="1" w:firstRow="1" w:lastColumn="0" w:lastRow="0" w:noHBand="0" w:noVBand="1" w:val="04A0"/>
      </w:tblPr>
      <w:tblGrid>
        <w:gridCol w:w="1752"/>
        <w:gridCol w:w="1752"/>
        <w:gridCol w:w="1752"/>
        <w:gridCol w:w="1752"/>
        <w:gridCol w:w="1752"/>
        <w:gridCol w:w="1752"/>
      </w:tblGrid>
      <w:tr>
        <w:trPr>
          <w:tblHeader w:val="true"/>
        </w:trPr>
        <w:tc>
          <w:tcPr>
            <w:tcW w:type="dxa" w:w="2376"/>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Exception / Check</w:t>
            </w:r>
          </w:p>
        </w:tc>
        <w:tc>
          <w:tcPr>
            <w:tcW w:type="dxa" w:w="1224"/>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Result</w:t>
            </w:r>
          </w:p>
        </w:tc>
        <w:tc>
          <w:tcPr>
            <w:tcW w:type="dxa" w:w="1224"/>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Materiality</w:t>
            </w:r>
          </w:p>
        </w:tc>
        <w:tc>
          <w:tcPr>
            <w:tcW w:type="dxa" w:w="2088"/>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Action Required</w:t>
            </w:r>
          </w:p>
        </w:tc>
        <w:tc>
          <w:tcPr>
            <w:tcW w:type="dxa" w:w="1368"/>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Responsible Officer</w:t>
            </w:r>
          </w:p>
        </w:tc>
        <w:tc>
          <w:tcPr>
            <w:tcW w:type="dxa" w:w="1080"/>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Target Date</w:t>
            </w:r>
          </w:p>
        </w:tc>
      </w:tr>
      <w:tr>
        <w:tc>
          <w:tcPr>
            <w:tcW w:type="dxa" w:w="237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Performance outside mandate tolerance</w:t>
            </w:r>
          </w:p>
        </w:tc>
        <w:tc>
          <w:tcPr>
            <w:tcW w:type="dxa" w:w="122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Pass</w:t>
            </w:r>
          </w:p>
        </w:tc>
        <w:tc>
          <w:tcPr>
            <w:tcW w:type="dxa" w:w="122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Immaterial</w:t>
            </w:r>
          </w:p>
        </w:tc>
        <w:tc>
          <w:tcPr>
            <w:tcW w:type="dxa" w:w="208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None required</w:t>
            </w:r>
          </w:p>
        </w:tc>
        <w:tc>
          <w:tcPr>
            <w:tcW w:type="dxa" w:w="136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Admin User</w:t>
            </w:r>
          </w:p>
        </w:tc>
        <w:tc>
          <w:tcPr>
            <w:tcW w:type="dxa" w:w="108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2026-03-31</w:t>
            </w:r>
          </w:p>
        </w:tc>
      </w:tr>
      <w:tr>
        <w:tc>
          <w:tcPr>
            <w:tcW w:type="dxa" w:w="237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Benchmark mismatch or stale benchmark data</w:t>
            </w:r>
          </w:p>
        </w:tc>
        <w:tc>
          <w:tcPr>
            <w:tcW w:type="dxa" w:w="122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Pass</w:t>
            </w:r>
          </w:p>
        </w:tc>
        <w:tc>
          <w:tcPr>
            <w:tcW w:type="dxa" w:w="122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Immaterial</w:t>
            </w:r>
          </w:p>
        </w:tc>
        <w:tc>
          <w:tcPr>
            <w:tcW w:type="dxa" w:w="208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None required</w:t>
            </w:r>
          </w:p>
        </w:tc>
        <w:tc>
          <w:tcPr>
            <w:tcW w:type="dxa" w:w="136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Admin User</w:t>
            </w:r>
          </w:p>
        </w:tc>
        <w:tc>
          <w:tcPr>
            <w:tcW w:type="dxa" w:w="108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2026-03-31</w:t>
            </w:r>
          </w:p>
        </w:tc>
      </w:tr>
      <w:tr>
        <w:tc>
          <w:tcPr>
            <w:tcW w:type="dxa" w:w="237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Missing / stale price impact</w:t>
            </w:r>
          </w:p>
        </w:tc>
        <w:tc>
          <w:tcPr>
            <w:tcW w:type="dxa" w:w="122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FX_MISSING_OR_NO_PRICE</w:t>
            </w:r>
          </w:p>
        </w:tc>
        <w:tc>
          <w:tcPr>
            <w:tcW w:type="dxa" w:w="122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Review</w:t>
            </w:r>
          </w:p>
        </w:tc>
        <w:tc>
          <w:tcPr>
            <w:tcW w:type="dxa" w:w="208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Resolve per valuation workflow</w:t>
            </w:r>
          </w:p>
        </w:tc>
        <w:tc>
          <w:tcPr>
            <w:tcW w:type="dxa" w:w="136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Admin User</w:t>
            </w:r>
          </w:p>
        </w:tc>
        <w:tc>
          <w:tcPr>
            <w:tcW w:type="dxa" w:w="108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2026-03-31</w:t>
            </w:r>
          </w:p>
        </w:tc>
      </w:tr>
      <w:tr>
        <w:tc>
          <w:tcPr>
            <w:tcW w:type="dxa" w:w="237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Unreconciled transaction or cash item</w:t>
            </w:r>
          </w:p>
        </w:tc>
        <w:tc>
          <w:tcPr>
            <w:tcW w:type="dxa" w:w="122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RECON_OPEN</w:t>
            </w:r>
          </w:p>
        </w:tc>
        <w:tc>
          <w:tcPr>
            <w:tcW w:type="dxa" w:w="122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Review</w:t>
            </w:r>
          </w:p>
        </w:tc>
        <w:tc>
          <w:tcPr>
            <w:tcW w:type="dxa" w:w="208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Resolve per valuation workflow</w:t>
            </w:r>
          </w:p>
        </w:tc>
        <w:tc>
          <w:tcPr>
            <w:tcW w:type="dxa" w:w="136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Admin User</w:t>
            </w:r>
          </w:p>
        </w:tc>
        <w:tc>
          <w:tcPr>
            <w:tcW w:type="dxa" w:w="108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2026-03-31</w:t>
            </w:r>
          </w:p>
        </w:tc>
      </w:tr>
    </w:tbl>
    <w:p>
      <w:pPr>
        <w:pStyle w:val="Heading1"/>
        <w:keepLines/>
      </w:pPr>
      <w:r>
        <w:rPr>
          <w:rFonts w:ascii="Aptos" w:hAnsi="Aptos" w:eastAsia="Aptos"/>
          <w:b/>
          <w:i w:val="0"/>
          <w:color w:val="07182B"/>
          <w:sz w:val="32"/>
        </w:rPr>
        <w:t>13. Supporting Documents Register</w:t>
      </w:r>
    </w:p>
    <w:tbl>
      <w:tblPr>
        <w:tblStyle w:val="TableGrid"/>
        <w:tblW w:type="auto" w:w="0"/>
        <w:jc w:val="center"/>
        <w:tblLook w:firstColumn="1" w:firstRow="1" w:lastColumn="0" w:lastRow="0" w:noHBand="0" w:noVBand="1" w:val="04A0"/>
      </w:tblPr>
      <w:tblGrid>
        <w:gridCol w:w="2102"/>
        <w:gridCol w:w="2102"/>
        <w:gridCol w:w="2102"/>
        <w:gridCol w:w="2102"/>
        <w:gridCol w:w="2102"/>
      </w:tblGrid>
      <w:tr>
        <w:trPr>
          <w:tblHeader w:val="true"/>
        </w:trPr>
        <w:tc>
          <w:tcPr>
            <w:tcW w:type="dxa" w:w="2448"/>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Document / Evidence</w:t>
            </w:r>
          </w:p>
        </w:tc>
        <w:tc>
          <w:tcPr>
            <w:tcW w:type="dxa" w:w="2304"/>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Source</w:t>
            </w:r>
          </w:p>
        </w:tc>
        <w:tc>
          <w:tcPr>
            <w:tcW w:type="dxa" w:w="1584"/>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Reference</w:t>
            </w:r>
          </w:p>
        </w:tc>
        <w:tc>
          <w:tcPr>
            <w:tcW w:type="dxa" w:w="1512"/>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Reviewed By</w:t>
            </w:r>
          </w:p>
        </w:tc>
        <w:tc>
          <w:tcPr>
            <w:tcW w:type="dxa" w:w="1368"/>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Status</w:t>
            </w:r>
          </w:p>
        </w:tc>
      </w:tr>
      <w:tr>
        <w:tc>
          <w:tcPr>
            <w:tcW w:type="dxa" w:w="244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Approved portfolio valuation report</w:t>
            </w:r>
          </w:p>
        </w:tc>
        <w:tc>
          <w:tcPr>
            <w:tcW w:type="dxa" w:w="230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Portfolio Valuation</w:t>
            </w:r>
          </w:p>
        </w:tc>
        <w:tc>
          <w:tcPr>
            <w:tcW w:type="dxa" w:w="158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cmrccjlmb002mkt0on6yuqe45</w:t>
            </w:r>
          </w:p>
        </w:tc>
        <w:tc>
          <w:tcPr>
            <w:tcW w:type="dxa" w:w="151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Admin User</w:t>
            </w:r>
          </w:p>
        </w:tc>
        <w:tc>
          <w:tcPr>
            <w:tcW w:type="dxa" w:w="136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OK</w:t>
            </w:r>
          </w:p>
        </w:tc>
      </w:tr>
      <w:tr>
        <w:tc>
          <w:tcPr>
            <w:tcW w:type="dxa" w:w="244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Holdings report</w:t>
            </w:r>
          </w:p>
        </w:tc>
        <w:tc>
          <w:tcPr>
            <w:tcW w:type="dxa" w:w="230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Stock Price Collector / Valuation</w:t>
            </w:r>
          </w:p>
        </w:tc>
        <w:tc>
          <w:tcPr>
            <w:tcW w:type="dxa" w:w="158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HOLD-5X0CNFAF</w:t>
            </w:r>
          </w:p>
        </w:tc>
        <w:tc>
          <w:tcPr>
            <w:tcW w:type="dxa" w:w="1512"/>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Admin User</w:t>
            </w:r>
          </w:p>
        </w:tc>
        <w:tc>
          <w:tcPr>
            <w:tcW w:type="dxa" w:w="136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Reviewed</w:t>
            </w:r>
          </w:p>
        </w:tc>
      </w:tr>
      <w:tr>
        <w:tc>
          <w:tcPr>
            <w:tcW w:type="dxa" w:w="244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Transaction report</w:t>
            </w:r>
          </w:p>
        </w:tc>
        <w:tc>
          <w:tcPr>
            <w:tcW w:type="dxa" w:w="230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Trade / Transaction Ledger</w:t>
            </w:r>
          </w:p>
        </w:tc>
        <w:tc>
          <w:tcPr>
            <w:tcW w:type="dxa" w:w="158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TXN-MR4LDWED3931D1</w:t>
            </w:r>
          </w:p>
        </w:tc>
        <w:tc>
          <w:tcPr>
            <w:tcW w:type="dxa" w:w="151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Admin User</w:t>
            </w:r>
          </w:p>
        </w:tc>
        <w:tc>
          <w:tcPr>
            <w:tcW w:type="dxa" w:w="136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Reviewed</w:t>
            </w:r>
          </w:p>
        </w:tc>
      </w:tr>
      <w:tr>
        <w:tc>
          <w:tcPr>
            <w:tcW w:type="dxa" w:w="244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Benchmark data extract</w:t>
            </w:r>
          </w:p>
        </w:tc>
        <w:tc>
          <w:tcPr>
            <w:tcW w:type="dxa" w:w="230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Approved Benchmark Source</w:t>
            </w:r>
          </w:p>
        </w:tc>
        <w:tc>
          <w:tcPr>
            <w:tcW w:type="dxa" w:w="158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BENCH-n6yuqe45</w:t>
            </w:r>
          </w:p>
        </w:tc>
        <w:tc>
          <w:tcPr>
            <w:tcW w:type="dxa" w:w="1512"/>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Admin User</w:t>
            </w:r>
          </w:p>
        </w:tc>
        <w:tc>
          <w:tcPr>
            <w:tcW w:type="dxa" w:w="136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Reviewed</w:t>
            </w:r>
          </w:p>
        </w:tc>
      </w:tr>
      <w:tr>
        <w:tc>
          <w:tcPr>
            <w:tcW w:type="dxa" w:w="244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Pricing and FX approval evidence</w:t>
            </w:r>
          </w:p>
        </w:tc>
        <w:tc>
          <w:tcPr>
            <w:tcW w:type="dxa" w:w="230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Pricing / FX Records</w:t>
            </w:r>
          </w:p>
        </w:tc>
        <w:tc>
          <w:tcPr>
            <w:tcW w:type="dxa" w:w="158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ZIMRATE / snap-mrukatsb</w:t>
            </w:r>
          </w:p>
        </w:tc>
        <w:tc>
          <w:tcPr>
            <w:tcW w:type="dxa" w:w="151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Admin User</w:t>
            </w:r>
          </w:p>
        </w:tc>
        <w:tc>
          <w:tcPr>
            <w:tcW w:type="dxa" w:w="136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Reviewed</w:t>
            </w:r>
          </w:p>
        </w:tc>
      </w:tr>
    </w:tbl>
    <w:p>
      <w:r>
        <w:br w:type="page"/>
      </w:r>
    </w:p>
    <w:p>
      <w:pPr>
        <w:pStyle w:val="Heading1"/>
        <w:keepLines/>
      </w:pPr>
      <w:r>
        <w:rPr>
          <w:rFonts w:ascii="Aptos" w:hAnsi="Aptos" w:eastAsia="Aptos"/>
          <w:b/>
          <w:i w:val="0"/>
          <w:color w:val="07182B"/>
          <w:sz w:val="32"/>
        </w:rPr>
        <w:t>14. Approval and Certification</w:t>
      </w:r>
    </w:p>
    <w:tbl>
      <w:tblPr>
        <w:tblW w:type="auto" w:w="0"/>
        <w:jc w:val="center"/>
        <w:tblLayout w:type="autofit"/>
        <w:tblLook w:firstColumn="1" w:firstRow="1" w:lastColumn="0" w:lastRow="0" w:noHBand="0" w:noVBand="1" w:val="04A0"/>
      </w:tblPr>
      <w:tblGrid>
        <w:gridCol w:w="10512"/>
      </w:tblGrid>
      <w:tr>
        <w:tc>
          <w:tcPr>
            <w:tcW w:type="dxa" w:w="10512"/>
            <w:shd w:fill="EAF4FF"/>
            <w:tcBorders>
              <w:top w:sz="6" w:val="single" w:color="9CC7F0"/>
              <w:left w:sz="6" w:val="single" w:color="9CC7F0"/>
              <w:bottom w:sz="6" w:val="single" w:color="9CC7F0"/>
              <w:right w:sz="6" w:val="single" w:color="9CC7F0"/>
            </w:tcBorders>
          </w:tcPr>
          <w:p>
            <w:pPr>
              <w:spacing w:before="0" w:after="0" w:line="240" w:lineRule="auto"/>
            </w:pPr>
            <w:r>
              <w:rPr>
                <w:rFonts w:ascii="Aptos" w:hAnsi="Aptos" w:eastAsia="Aptos"/>
                <w:b/>
                <w:i w:val="0"/>
                <w:color w:val="1E88E5"/>
                <w:sz w:val="17"/>
              </w:rPr>
              <w:t xml:space="preserve">INSTRUCTION: </w:t>
            </w:r>
            <w:r>
              <w:rPr>
                <w:rFonts w:ascii="Aptos" w:hAnsi="Aptos" w:eastAsia="Aptos"/>
                <w:b w:val="0"/>
                <w:i w:val="0"/>
                <w:color w:val="44546A"/>
                <w:sz w:val="17"/>
              </w:rPr>
              <w:t>Maker and checker must be different authorised users. Do not release the report until portfolio values, returns, benchmark data, cash flows, FX rates and exceptions have been reviewed and approved.</w:t>
            </w:r>
          </w:p>
        </w:tc>
      </w:tr>
    </w:tbl>
    <w:tbl>
      <w:tblPr>
        <w:tblStyle w:val="TableGrid"/>
        <w:tblW w:type="auto" w:w="0"/>
        <w:jc w:val="center"/>
        <w:tblLook w:firstColumn="1" w:firstRow="1" w:lastColumn="0" w:lastRow="0" w:noHBand="0" w:noVBand="1" w:val="04A0"/>
      </w:tblPr>
      <w:tblGrid>
        <w:gridCol w:w="2102"/>
        <w:gridCol w:w="2102"/>
        <w:gridCol w:w="2102"/>
        <w:gridCol w:w="2102"/>
        <w:gridCol w:w="2102"/>
      </w:tblGrid>
      <w:tr>
        <w:trPr>
          <w:tblHeader w:val="true"/>
        </w:trPr>
        <w:tc>
          <w:tcPr>
            <w:tcW w:type="dxa" w:w="1944"/>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Role</w:t>
            </w:r>
          </w:p>
        </w:tc>
        <w:tc>
          <w:tcPr>
            <w:tcW w:type="dxa" w:w="1800"/>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Name</w:t>
            </w:r>
          </w:p>
        </w:tc>
        <w:tc>
          <w:tcPr>
            <w:tcW w:type="dxa" w:w="1944"/>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Designation</w:t>
            </w:r>
          </w:p>
        </w:tc>
        <w:tc>
          <w:tcPr>
            <w:tcW w:type="dxa" w:w="1152"/>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Date</w:t>
            </w:r>
          </w:p>
        </w:tc>
        <w:tc>
          <w:tcPr>
            <w:tcW w:type="dxa" w:w="2520"/>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Signature / Digital Approval</w:t>
            </w:r>
          </w:p>
        </w:tc>
      </w:tr>
      <w:tr>
        <w:tc>
          <w:tcPr>
            <w:tcW w:type="dxa" w:w="194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Prepared By - Maker</w:t>
            </w:r>
          </w:p>
        </w:tc>
        <w:tc>
          <w:tcPr>
            <w:tcW w:type="dxa" w:w="180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Admin User</w:t>
            </w:r>
          </w:p>
        </w:tc>
        <w:tc>
          <w:tcPr>
            <w:tcW w:type="dxa" w:w="194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Investment Operations</w:t>
            </w:r>
          </w:p>
        </w:tc>
        <w:tc>
          <w:tcPr>
            <w:tcW w:type="dxa" w:w="115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2026-07-08</w:t>
            </w:r>
          </w:p>
        </w:tc>
        <w:tc>
          <w:tcPr>
            <w:tcW w:type="dxa" w:w="252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Digitally prepared — Admin User</w:t>
            </w:r>
          </w:p>
        </w:tc>
      </w:tr>
      <w:tr>
        <w:tc>
          <w:tcPr>
            <w:tcW w:type="dxa" w:w="194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Reviewed By - Portfolio Manager</w:t>
            </w:r>
          </w:p>
        </w:tc>
        <w:tc>
          <w:tcPr>
            <w:tcW w:type="dxa" w:w="180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Admin User</w:t>
            </w:r>
          </w:p>
        </w:tc>
        <w:tc>
          <w:tcPr>
            <w:tcW w:type="dxa" w:w="194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Portfolio Manager</w:t>
            </w:r>
          </w:p>
        </w:tc>
        <w:tc>
          <w:tcPr>
            <w:tcW w:type="dxa" w:w="1152"/>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2026-07-08</w:t>
            </w:r>
          </w:p>
        </w:tc>
        <w:tc>
          <w:tcPr>
            <w:tcW w:type="dxa" w:w="252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Reviewed — Admin User</w:t>
            </w:r>
          </w:p>
        </w:tc>
      </w:tr>
      <w:tr>
        <w:tc>
          <w:tcPr>
            <w:tcW w:type="dxa" w:w="194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Approved By - Checker</w:t>
            </w:r>
          </w:p>
        </w:tc>
        <w:tc>
          <w:tcPr>
            <w:tcW w:type="dxa" w:w="180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Admin User</w:t>
            </w:r>
          </w:p>
        </w:tc>
        <w:tc>
          <w:tcPr>
            <w:tcW w:type="dxa" w:w="194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Investment Operations</w:t>
            </w:r>
          </w:p>
        </w:tc>
        <w:tc>
          <w:tcPr>
            <w:tcW w:type="dxa" w:w="115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2026-07-08</w:t>
            </w:r>
          </w:p>
        </w:tc>
        <w:tc>
          <w:tcPr>
            <w:tcW w:type="dxa" w:w="252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Checked — Admin User</w:t>
            </w:r>
          </w:p>
        </w:tc>
      </w:tr>
      <w:tr>
        <w:tc>
          <w:tcPr>
            <w:tcW w:type="dxa" w:w="194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Released By</w:t>
            </w:r>
          </w:p>
        </w:tc>
        <w:tc>
          <w:tcPr>
            <w:tcW w:type="dxa" w:w="180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Admin User</w:t>
            </w:r>
          </w:p>
        </w:tc>
        <w:tc>
          <w:tcPr>
            <w:tcW w:type="dxa" w:w="194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Portfolio Manager</w:t>
            </w:r>
          </w:p>
        </w:tc>
        <w:tc>
          <w:tcPr>
            <w:tcW w:type="dxa" w:w="1152"/>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2026-07-08</w:t>
            </w:r>
          </w:p>
        </w:tc>
        <w:tc>
          <w:tcPr>
            <w:tcW w:type="dxa" w:w="252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Authorised — Admin User</w:t>
            </w:r>
          </w:p>
        </w:tc>
      </w:tr>
    </w:tbl>
    <w:p>
      <w:pPr>
        <w:pStyle w:val="Heading1"/>
        <w:keepLines/>
      </w:pPr>
      <w:r>
        <w:rPr>
          <w:rFonts w:ascii="Aptos" w:hAnsi="Aptos" w:eastAsia="Aptos"/>
          <w:b/>
          <w:i w:val="0"/>
          <w:color w:val="07182B"/>
          <w:sz w:val="32"/>
        </w:rPr>
        <w:t>15. Arcus Audit, Version and Publication Controls</w:t>
      </w:r>
    </w:p>
    <w:tbl>
      <w:tblPr>
        <w:tblStyle w:val="TableGrid"/>
        <w:tblW w:type="auto" w:w="0"/>
        <w:jc w:val="center"/>
        <w:tblLook w:firstColumn="1" w:firstRow="1" w:lastColumn="0" w:lastRow="0" w:noHBand="0" w:noVBand="1" w:val="04A0"/>
      </w:tblPr>
      <w:tblGrid>
        <w:gridCol w:w="5256"/>
        <w:gridCol w:w="5256"/>
      </w:tblGrid>
      <w:tr>
        <w:tc>
          <w:tcPr>
            <w:tcW w:type="dxa" w:w="3312"/>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i w:val="0"/>
                <w:color w:val="07182B"/>
                <w:sz w:val="17"/>
              </w:rPr>
              <w:t>Report Run ID</w:t>
            </w:r>
          </w:p>
        </w:tc>
        <w:tc>
          <w:tcPr>
            <w:tcW w:type="dxa" w:w="5904"/>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val="0"/>
                <w:sz w:val="16"/>
                <w:highlight w:val="yellow"/>
              </w:rPr>
              <w:t xml:space="preserve">cmrcckhxz0047kt0o2zsfwjjo</w:t>
            </w:r>
          </w:p>
        </w:tc>
      </w:tr>
      <w:tr>
        <w:tc>
          <w:tcPr>
            <w:tcW w:type="dxa" w:w="3312"/>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i w:val="0"/>
                <w:color w:val="07182B"/>
                <w:sz w:val="17"/>
              </w:rPr>
              <w:t>Generated Report ID</w:t>
            </w:r>
          </w:p>
        </w:tc>
        <w:tc>
          <w:tcPr>
            <w:tcW w:type="dxa" w:w="5904"/>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val="0"/>
                <w:sz w:val="16"/>
                <w:highlight w:val="yellow"/>
              </w:rPr>
              <w:t xml:space="preserve">cmrcckhxz0047kt0o2zsfwjjo</w:t>
            </w:r>
          </w:p>
        </w:tc>
      </w:tr>
      <w:tr>
        <w:tc>
          <w:tcPr>
            <w:tcW w:type="dxa" w:w="3312"/>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i w:val="0"/>
                <w:color w:val="07182B"/>
                <w:sz w:val="17"/>
              </w:rPr>
              <w:t>Source Module</w:t>
            </w:r>
          </w:p>
        </w:tc>
        <w:tc>
          <w:tcPr>
            <w:tcW w:type="dxa" w:w="5904"/>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val="0"/>
                <w:sz w:val="16"/>
                <w:highlight w:val="yellow"/>
              </w:rPr>
              <w:t xml:space="preserve">Stock Price Collector / Portfolio Valuation / Listed Equity</w:t>
            </w:r>
          </w:p>
        </w:tc>
      </w:tr>
      <w:tr>
        <w:tc>
          <w:tcPr>
            <w:tcW w:type="dxa" w:w="3312"/>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i w:val="0"/>
                <w:color w:val="07182B"/>
                <w:sz w:val="17"/>
              </w:rPr>
              <w:t>Performance Calculation Batch</w:t>
            </w:r>
          </w:p>
        </w:tc>
        <w:tc>
          <w:tcPr>
            <w:tcW w:type="dxa" w:w="5904"/>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val="0"/>
                <w:sz w:val="16"/>
                <w:highlight w:val="yellow"/>
              </w:rPr>
              <w:t xml:space="preserve">cmrccjlmb002mkt0on6yuqe45</w:t>
            </w:r>
          </w:p>
        </w:tc>
      </w:tr>
      <w:tr>
        <w:tc>
          <w:tcPr>
            <w:tcW w:type="dxa" w:w="3312"/>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i w:val="0"/>
                <w:color w:val="07182B"/>
                <w:sz w:val="17"/>
              </w:rPr>
              <w:t>Valuation Snapshot ID</w:t>
            </w:r>
          </w:p>
        </w:tc>
        <w:tc>
          <w:tcPr>
            <w:tcW w:type="dxa" w:w="5904"/>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val="0"/>
                <w:sz w:val="16"/>
                <w:highlight w:val="yellow"/>
              </w:rPr>
              <w:t xml:space="preserve">cmrccjlyq002ukt0omrukatsb</w:t>
            </w:r>
          </w:p>
        </w:tc>
      </w:tr>
      <w:tr>
        <w:tc>
          <w:tcPr>
            <w:tcW w:type="dxa" w:w="3312"/>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i w:val="0"/>
                <w:color w:val="07182B"/>
                <w:sz w:val="17"/>
              </w:rPr>
              <w:t>Benchmark Data Snapshot ID</w:t>
            </w:r>
          </w:p>
        </w:tc>
        <w:tc>
          <w:tcPr>
            <w:tcW w:type="dxa" w:w="5904"/>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val="0"/>
                <w:sz w:val="16"/>
                <w:highlight w:val="yellow"/>
              </w:rPr>
              <w:t xml:space="preserve">cmrccjlmb002mkt0on6yuqe45</w:t>
            </w:r>
          </w:p>
        </w:tc>
      </w:tr>
      <w:tr>
        <w:tc>
          <w:tcPr>
            <w:tcW w:type="dxa" w:w="3312"/>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i w:val="0"/>
                <w:color w:val="07182B"/>
                <w:sz w:val="17"/>
              </w:rPr>
              <w:t>Generated By</w:t>
            </w:r>
          </w:p>
        </w:tc>
        <w:tc>
          <w:tcPr>
            <w:tcW w:type="dxa" w:w="5904"/>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val="0"/>
                <w:sz w:val="16"/>
                <w:highlight w:val="yellow"/>
              </w:rPr>
              <w:t xml:space="preserve">Admin User</w:t>
            </w:r>
          </w:p>
        </w:tc>
      </w:tr>
      <w:tr>
        <w:tc>
          <w:tcPr>
            <w:tcW w:type="dxa" w:w="3312"/>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i w:val="0"/>
                <w:color w:val="07182B"/>
                <w:sz w:val="17"/>
              </w:rPr>
              <w:t>Generated Date and Time</w:t>
            </w:r>
          </w:p>
        </w:tc>
        <w:tc>
          <w:tcPr>
            <w:tcW w:type="dxa" w:w="5904"/>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val="0"/>
                <w:sz w:val="16"/>
                <w:highlight w:val="yellow"/>
              </w:rPr>
              <w:t xml:space="preserve">2026-07-08T17:23:59.066Z</w:t>
            </w:r>
          </w:p>
        </w:tc>
      </w:tr>
      <w:tr>
        <w:tc>
          <w:tcPr>
            <w:tcW w:type="dxa" w:w="3312"/>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i w:val="0"/>
                <w:color w:val="07182B"/>
                <w:sz w:val="17"/>
              </w:rPr>
              <w:t>Approved By</w:t>
            </w:r>
          </w:p>
        </w:tc>
        <w:tc>
          <w:tcPr>
            <w:tcW w:type="dxa" w:w="5904"/>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val="0"/>
                <w:sz w:val="16"/>
                <w:highlight w:val="yellow"/>
              </w:rPr>
              <w:t xml:space="preserve">Admin User</w:t>
            </w:r>
          </w:p>
        </w:tc>
      </w:tr>
      <w:tr>
        <w:tc>
          <w:tcPr>
            <w:tcW w:type="dxa" w:w="3312"/>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i w:val="0"/>
                <w:color w:val="07182B"/>
                <w:sz w:val="17"/>
              </w:rPr>
              <w:t>Approval Date and Time</w:t>
            </w:r>
          </w:p>
        </w:tc>
        <w:tc>
          <w:tcPr>
            <w:tcW w:type="dxa" w:w="5904"/>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val="0"/>
                <w:sz w:val="16"/>
                <w:highlight w:val="yellow"/>
              </w:rPr>
              <w:t xml:space="preserve">2026-07-08T17:23:59.066Z</w:t>
            </w:r>
          </w:p>
        </w:tc>
      </w:tr>
      <w:tr>
        <w:tc>
          <w:tcPr>
            <w:tcW w:type="dxa" w:w="3312"/>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i w:val="0"/>
                <w:color w:val="07182B"/>
                <w:sz w:val="17"/>
              </w:rPr>
              <w:t>Published to Client Portal</w:t>
            </w:r>
          </w:p>
        </w:tc>
        <w:tc>
          <w:tcPr>
            <w:tcW w:type="dxa" w:w="5904"/>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val="0"/>
                <w:sz w:val="16"/>
                <w:highlight w:val="yellow"/>
              </w:rPr>
              <w:t xml:space="preserve">Yes</w:t>
            </w:r>
          </w:p>
        </w:tc>
      </w:tr>
      <w:tr>
        <w:tc>
          <w:tcPr>
            <w:tcW w:type="dxa" w:w="3312"/>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i w:val="0"/>
                <w:color w:val="07182B"/>
                <w:sz w:val="17"/>
              </w:rPr>
              <w:t>Portal Publication Date</w:t>
            </w:r>
          </w:p>
        </w:tc>
        <w:tc>
          <w:tcPr>
            <w:tcW w:type="dxa" w:w="5904"/>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val="0"/>
                <w:sz w:val="16"/>
                <w:highlight w:val="yellow"/>
              </w:rPr>
              <w:t xml:space="preserve">2026-07-08</w:t>
            </w:r>
          </w:p>
        </w:tc>
      </w:tr>
      <w:tr>
        <w:tc>
          <w:tcPr>
            <w:tcW w:type="dxa" w:w="3312"/>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i w:val="0"/>
                <w:color w:val="07182B"/>
                <w:sz w:val="17"/>
              </w:rPr>
              <w:t>Document Hash / Checksum</w:t>
            </w:r>
          </w:p>
        </w:tc>
        <w:tc>
          <w:tcPr>
            <w:tcW w:type="dxa" w:w="5904"/>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val="0"/>
                <w:sz w:val="16"/>
                <w:highlight w:val="yellow"/>
              </w:rPr>
              <w:t xml:space="preserve">cffd4ff6c9400b08</w:t>
            </w:r>
          </w:p>
        </w:tc>
      </w:tr>
      <w:tr>
        <w:tc>
          <w:tcPr>
            <w:tcW w:type="dxa" w:w="3312"/>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i w:val="0"/>
                <w:color w:val="07182B"/>
                <w:sz w:val="17"/>
              </w:rPr>
              <w:t>Archive Status</w:t>
            </w:r>
          </w:p>
        </w:tc>
        <w:tc>
          <w:tcPr>
            <w:tcW w:type="dxa" w:w="5904"/>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val="0"/>
                <w:sz w:val="16"/>
                <w:highlight w:val="yellow"/>
              </w:rPr>
              <w:t xml:space="preserve">DRAFT</w:t>
            </w:r>
          </w:p>
        </w:tc>
      </w:tr>
      <w:tr>
        <w:tc>
          <w:tcPr>
            <w:tcW w:type="dxa" w:w="3312"/>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i w:val="0"/>
                <w:color w:val="07182B"/>
                <w:sz w:val="17"/>
              </w:rPr>
              <w:t>Reissue Reference, if any</w:t>
            </w:r>
          </w:p>
        </w:tc>
        <w:tc>
          <w:tcPr>
            <w:tcW w:type="dxa" w:w="5904"/>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val="0"/>
                <w:sz w:val="16"/>
                <w:highlight w:val="yellow"/>
              </w:rPr>
              <w:t xml:space="preserve">cmrcckhxz0047kt0o2zsfwjjo</w:t>
            </w:r>
          </w:p>
        </w:tc>
      </w:tr>
    </w:tbl>
    <w:p>
      <w:pPr>
        <w:pStyle w:val="Heading1"/>
        <w:keepLines/>
      </w:pPr>
      <w:r>
        <w:rPr>
          <w:rFonts w:ascii="Aptos" w:hAnsi="Aptos" w:eastAsia="Aptos"/>
          <w:b/>
          <w:i w:val="0"/>
          <w:color w:val="07182B"/>
          <w:sz w:val="32"/>
        </w:rPr>
        <w:t>16. Final Release Checklist</w:t>
      </w:r>
    </w:p>
    <w:tbl>
      <w:tblPr>
        <w:tblStyle w:val="TableGrid"/>
        <w:tblW w:type="auto" w:w="0"/>
        <w:jc w:val="center"/>
        <w:tblLook w:firstColumn="1" w:firstRow="1" w:lastColumn="0" w:lastRow="0" w:noHBand="0" w:noVBand="1" w:val="04A0"/>
      </w:tblPr>
      <w:tblGrid>
        <w:gridCol w:w="2628"/>
        <w:gridCol w:w="2628"/>
        <w:gridCol w:w="2628"/>
        <w:gridCol w:w="2628"/>
      </w:tblGrid>
      <w:tr>
        <w:trPr>
          <w:tblHeader w:val="true"/>
        </w:trPr>
        <w:tc>
          <w:tcPr>
            <w:tcW w:type="dxa" w:w="1944"/>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Control</w:t>
            </w:r>
          </w:p>
        </w:tc>
        <w:tc>
          <w:tcPr>
            <w:tcW w:type="dxa" w:w="4320"/>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Required Confirmation</w:t>
            </w:r>
          </w:p>
        </w:tc>
        <w:tc>
          <w:tcPr>
            <w:tcW w:type="dxa" w:w="1296"/>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Status</w:t>
            </w:r>
          </w:p>
        </w:tc>
        <w:tc>
          <w:tcPr>
            <w:tcW w:type="dxa" w:w="1656"/>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Reviewer</w:t>
            </w:r>
          </w:p>
        </w:tc>
      </w:tr>
      <w:tr>
        <w:tc>
          <w:tcPr>
            <w:tcW w:type="dxa" w:w="194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Approved source data</w:t>
            </w:r>
          </w:p>
        </w:tc>
        <w:tc>
          <w:tcPr>
            <w:tcW w:type="dxa" w:w="432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All holdings, trades, prices, FX rates and cash balances are approved.</w:t>
            </w:r>
          </w:p>
        </w:tc>
        <w:tc>
          <w:tcPr>
            <w:tcW w:type="dxa" w:w="129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Confirmed</w:t>
            </w:r>
          </w:p>
        </w:tc>
        <w:tc>
          <w:tcPr>
            <w:tcW w:type="dxa" w:w="165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Admin User</w:t>
            </w:r>
          </w:p>
        </w:tc>
      </w:tr>
      <w:tr>
        <w:tc>
          <w:tcPr>
            <w:tcW w:type="dxa" w:w="194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Benchmark validation</w:t>
            </w:r>
          </w:p>
        </w:tc>
        <w:tc>
          <w:tcPr>
            <w:tcW w:type="dxa" w:w="432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Benchmark source, methodology and period have been validated.</w:t>
            </w:r>
          </w:p>
        </w:tc>
        <w:tc>
          <w:tcPr>
            <w:tcW w:type="dxa" w:w="129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Confirmed</w:t>
            </w:r>
          </w:p>
        </w:tc>
        <w:tc>
          <w:tcPr>
            <w:tcW w:type="dxa" w:w="165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Admin User</w:t>
            </w:r>
          </w:p>
        </w:tc>
      </w:tr>
      <w:tr>
        <w:tc>
          <w:tcPr>
            <w:tcW w:type="dxa" w:w="194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Performance methodology</w:t>
            </w:r>
          </w:p>
        </w:tc>
        <w:tc>
          <w:tcPr>
            <w:tcW w:type="dxa" w:w="432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Return basis and fee treatment are correctly disclosed.</w:t>
            </w:r>
          </w:p>
        </w:tc>
        <w:tc>
          <w:tcPr>
            <w:tcW w:type="dxa" w:w="129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Confirmed</w:t>
            </w:r>
          </w:p>
        </w:tc>
        <w:tc>
          <w:tcPr>
            <w:tcW w:type="dxa" w:w="165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Admin User</w:t>
            </w:r>
          </w:p>
        </w:tc>
      </w:tr>
      <w:tr>
        <w:tc>
          <w:tcPr>
            <w:tcW w:type="dxa" w:w="194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P&amp;L reconciliation</w:t>
            </w:r>
          </w:p>
        </w:tc>
        <w:tc>
          <w:tcPr>
            <w:tcW w:type="dxa" w:w="432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Realised and unrealised P&amp;L reconcile to approved records.</w:t>
            </w:r>
          </w:p>
        </w:tc>
        <w:tc>
          <w:tcPr>
            <w:tcW w:type="dxa" w:w="129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Confirmed</w:t>
            </w:r>
          </w:p>
        </w:tc>
        <w:tc>
          <w:tcPr>
            <w:tcW w:type="dxa" w:w="165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Admin User</w:t>
            </w:r>
          </w:p>
        </w:tc>
      </w:tr>
      <w:tr>
        <w:tc>
          <w:tcPr>
            <w:tcW w:type="dxa" w:w="194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Exceptions</w:t>
            </w:r>
          </w:p>
        </w:tc>
        <w:tc>
          <w:tcPr>
            <w:tcW w:type="dxa" w:w="432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All material exceptions are resolved or authorised.</w:t>
            </w:r>
          </w:p>
        </w:tc>
        <w:tc>
          <w:tcPr>
            <w:tcW w:type="dxa" w:w="129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Review required</w:t>
            </w:r>
          </w:p>
        </w:tc>
        <w:tc>
          <w:tcPr>
            <w:tcW w:type="dxa" w:w="165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Admin User</w:t>
            </w:r>
          </w:p>
        </w:tc>
      </w:tr>
      <w:tr>
        <w:tc>
          <w:tcPr>
            <w:tcW w:type="dxa" w:w="194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Maker-checker</w:t>
            </w:r>
          </w:p>
        </w:tc>
        <w:tc>
          <w:tcPr>
            <w:tcW w:type="dxa" w:w="432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Maker and checker are different authorised users.</w:t>
            </w:r>
          </w:p>
        </w:tc>
        <w:tc>
          <w:tcPr>
            <w:tcW w:type="dxa" w:w="129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Complete</w:t>
            </w:r>
          </w:p>
        </w:tc>
        <w:tc>
          <w:tcPr>
            <w:tcW w:type="dxa" w:w="165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Admin User</w:t>
            </w:r>
          </w:p>
        </w:tc>
      </w:tr>
    </w:tbl>
    <w:p>
      <w:pPr>
        <w:spacing w:before="160" w:after="0" w:line="240" w:lineRule="auto"/>
        <w:jc w:val="center"/>
      </w:pPr>
      <w:r>
        <w:rPr>
          <w:rFonts w:ascii="Aptos" w:hAnsi="Aptos" w:eastAsia="Aptos"/>
          <w:b/>
          <w:i w:val="0"/>
          <w:color w:val="07182B"/>
          <w:sz w:val="18"/>
        </w:rPr>
        <w:t>End of Performance Report</w:t>
      </w:r>
    </w:p>
    <w:sectPr w:rsidR="00FC693F" w:rsidRPr="0006063C" w:rsidSect="00034616">
      <w:headerReference w:type="default" r:id="rId9"/>
      <w:footerReference w:type="default" r:id="rId10"/>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ptos" w:hAnsi="Aptos" w:eastAsia="Aptos"/>
        <w:b w:val="0"/>
        <w:i w:val="0"/>
        <w:color w:val="44546A"/>
        <w:sz w:val="15"/>
      </w:rPr>
      <w:t xml:space="preserve">Confidential | Arcus Asset Management | Arcus Listed Portfolio |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Aptos" w:hAnsi="Aptos" w:eastAsia="Aptos"/>
        <w:b/>
        <w:i w:val="0"/>
        <w:color w:val="1E88E5"/>
        <w:sz w:val="20"/>
      </w:rPr>
      <w:t>■</w:t>
    </w:r>
    <w:r>
      <w:rPr>
        <w:rFonts w:ascii="Aptos" w:hAnsi="Aptos" w:eastAsia="Aptos"/>
        <w:b/>
        <w:i w:val="0"/>
        <w:color w:val="07182B"/>
        <w:sz w:val="17"/>
      </w:rPr>
      <w:t xml:space="preserve">  ARCUS REPORTING TEMPLATE</w:t>
    </w:r>
    <w:r>
      <w:rPr>
        <w:rFonts w:ascii="Aptos" w:hAnsi="Aptos" w:eastAsia="Aptos"/>
        <w:b w:val="0"/>
        <w:i w:val="0"/>
        <w:color w:val="44546A"/>
        <w:sz w:val="16"/>
      </w:rPr>
      <w:t xml:space="preserve">     Performance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color w:val="111827"/>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eastAsia="Aptos Display"/>
      <w:b/>
      <w:bCs/>
      <w:color w:val="07182B"/>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eastAsia="Aptos Display"/>
      <w:b/>
      <w:bCs/>
      <w:color w:val="1E88E5"/>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eastAsia="Aptos Display"/>
      <w:b/>
      <w:bCs/>
      <w:color w:val="1E88E5"/>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ptos" w:hAnsi="Aptos" w:eastAsia="Aptos"/>
      <w:color w:val="111827"/>
      <w:sz w:val="18"/>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rcusSmallNote">
    <w:name w:val="Arcus Small Note"/>
    <w:rPr>
      <w:rFonts w:ascii="Aptos" w:hAnsi="Aptos" w:eastAsia="Aptos"/>
      <w:color w:val="44546A"/>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Arcus Performance Report Template</dc:title>
  <dc:subject>Asset Manager Reporting Template</dc:subject>
  <dc:creator>Arcus Reporting Template Generator</dc:creator>
  <cp:keywords>Arcus, Performance Report, Asset Management, Portfolio Valuation, Zimbabwe</cp:keywords>
  <dc:description>generated by python-docx</dc:description>
  <cp:lastModifiedBy/>
  <cp:revision>1</cp:revision>
  <dcterms:created xsi:type="dcterms:W3CDTF">2013-12-23T23:15:00Z</dcterms:created>
  <dcterms:modified xsi:type="dcterms:W3CDTF">2013-12-23T23:15:00Z</dcterms:modified>
  <cp:category/>
</cp:coreProperties>
</file>