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color w:val="168AE8"/>
          <w:sz w:val="24"/>
        </w:rPr>
        <w:t>■</w:t>
      </w:r>
      <w:r>
        <w:rPr>
          <w:b/>
          <w:i w:val="0"/>
          <w:color w:val="071A2E"/>
          <w:sz w:val="18"/>
        </w:rPr>
        <w:t xml:space="preserve"> ARCUS REPORTING TEMPLATE</w:t>
      </w:r>
    </w:p>
    <w:tbl>
      <w:tblPr>
        <w:tblW w:type="auto" w:w="0"/>
        <w:jc w:val="center"/>
        <w:tblLook w:firstColumn="1" w:firstRow="1" w:lastColumn="0" w:lastRow="0" w:noHBand="0" w:noVBand="1" w:val="04A0"/>
      </w:tblPr>
      <w:tblGrid>
        <w:gridCol w:w="15478"/>
      </w:tblGrid>
      <w:tr>
        <w:tc>
          <w:tcPr>
            <w:tcW w:type="dxa" w:w="15478"/>
            <w:shd w:fill="EAF4FF"/>
            <w:tcBorders>
              <w:top w:sz="10" w:val="single" w:color="B7D7F2"/>
              <w:left w:sz="10" w:val="single" w:color="B7D7F2"/>
              <w:bottom w:sz="10" w:val="single" w:color="B7D7F2"/>
              <w:right w:sz="10" w:val="single" w:color="B7D7F2"/>
            </w:tcBorders>
            <w:tcMar>
              <w:top w:w="260" w:type="dxa"/>
              <w:start w:w="260" w:type="dxa"/>
              <w:bottom w:w="260" w:type="dxa"/>
              <w:end w:w="260" w:type="dxa"/>
            </w:tcMar>
          </w:tcPr>
          <w:p>
            <w:pPr>
              <w:spacing w:after="0" w:line="240" w:lineRule="auto"/>
              <w:jc w:val="center"/>
            </w:pPr>
            <w:r>
              <w:rPr>
                <w:b/>
                <w:i w:val="0"/>
                <w:color w:val="071A2E"/>
                <w:sz w:val="44"/>
              </w:rPr>
              <w:t>RECONCILIATION EXCEPTION REPORT</w:t>
            </w:r>
          </w:p>
          <w:p>
            <w:pPr>
              <w:spacing w:after="0" w:line="240" w:lineRule="auto"/>
              <w:jc w:val="center"/>
            </w:pPr>
            <w:r>
              <w:rPr>
                <w:b w:val="0"/>
                <w:i w:val="0"/>
                <w:color w:val="5B6773"/>
                <w:sz w:val="22"/>
              </w:rPr>
              <w:t>Asset Manager Reporting Workspace</w:t>
            </w:r>
          </w:p>
          <w:p>
            <w:pPr>
              <w:spacing w:after="0" w:line="240" w:lineRule="auto"/>
              <w:jc w:val="center"/>
            </w:pPr>
            <w:r>
              <w:rPr>
                <w:b w:val="0"/>
                <w:i w:val="0"/>
                <w:color w:val="071A2E"/>
                <w:sz w:val="20"/>
                <w:highlight w:val="yellow"/>
              </w:rPr>
              <w:t>{asset_manager_name} | {client_portfolio_or_all_portfolios} | {reporting_period}</w:t>
            </w:r>
          </w:p>
        </w:tc>
      </w:tr>
    </w:tbl>
    <w:p>
      <w:pPr>
        <w:spacing w:before="100" w:after="80"/>
      </w:pPr>
      <w:r>
        <w:rPr>
          <w:b/>
          <w:color w:val="168AE8"/>
          <w:sz w:val="21"/>
        </w:rPr>
        <w:t>Letterhead and Report Identification</w:t>
      </w:r>
    </w:p>
    <w:tbl>
      <w:tblPr>
        <w:tblW w:type="auto" w:w="0"/>
        <w:jc w:val="center"/>
        <w:tblLook w:firstColumn="1" w:firstRow="1" w:lastColumn="0" w:lastRow="0" w:noHBand="0" w:noVBand="1" w:val="04A0"/>
      </w:tblPr>
      <w:tblGrid>
        <w:gridCol w:w="3869"/>
        <w:gridCol w:w="3869"/>
        <w:gridCol w:w="3869"/>
        <w:gridCol w:w="3869"/>
      </w:tblGrid>
      <w:tr>
        <w:tc>
          <w:tcPr>
            <w:tcW w:type="dxa" w:w="3869"/>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FFFFFF"/>
                <w:sz w:val="15"/>
              </w:rPr>
              <w:t>Logo</w:t>
            </w:r>
          </w:p>
        </w:tc>
        <w:tc>
          <w:tcPr>
            <w:tcW w:type="dxa" w:w="386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5"/>
                <w:highlight w:val="yellow"/>
              </w:rPr>
              <w:t>{insert_logo_here}</w:t>
            </w:r>
          </w:p>
        </w:tc>
        <w:tc>
          <w:tcPr>
            <w:tcW w:type="dxa" w:w="3869"/>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FFFFFF"/>
                <w:sz w:val="15"/>
              </w:rPr>
              <w:t>Entity</w:t>
            </w:r>
          </w:p>
        </w:tc>
        <w:tc>
          <w:tcPr>
            <w:tcW w:type="dxa" w:w="386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5"/>
                <w:highlight w:val="yellow"/>
              </w:rPr>
              <w:t>{asset_manager_name}</w:t>
            </w:r>
          </w:p>
        </w:tc>
      </w:tr>
      <w:tr>
        <w:tc>
          <w:tcPr>
            <w:tcW w:type="dxa" w:w="3869"/>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FFFFFF"/>
                <w:sz w:val="15"/>
              </w:rPr>
              <w:t>Registered office</w:t>
            </w:r>
          </w:p>
        </w:tc>
        <w:tc>
          <w:tcPr>
            <w:tcW w:type="dxa" w:w="386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5"/>
                <w:highlight w:val="yellow"/>
              </w:rPr>
              <w:t>{registered_office_address}</w:t>
            </w:r>
          </w:p>
        </w:tc>
        <w:tc>
          <w:tcPr>
            <w:tcW w:type="dxa" w:w="3869"/>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FFFFFF"/>
                <w:sz w:val="15"/>
              </w:rPr>
              <w:t>Licence / Registration</w:t>
            </w:r>
          </w:p>
        </w:tc>
        <w:tc>
          <w:tcPr>
            <w:tcW w:type="dxa" w:w="386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5"/>
                <w:highlight w:val="yellow"/>
              </w:rPr>
              <w:t>{licence_or_registration_number}</w:t>
            </w:r>
          </w:p>
        </w:tc>
      </w:tr>
      <w:tr>
        <w:tc>
          <w:tcPr>
            <w:tcW w:type="dxa" w:w="3869"/>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FFFFFF"/>
                <w:sz w:val="15"/>
              </w:rPr>
              <w:t>Email / Telephone</w:t>
            </w:r>
          </w:p>
        </w:tc>
        <w:tc>
          <w:tcPr>
            <w:tcW w:type="dxa" w:w="386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5"/>
                <w:highlight w:val="yellow"/>
              </w:rPr>
              <w:t>{official_email_and_telephone}</w:t>
            </w:r>
          </w:p>
        </w:tc>
        <w:tc>
          <w:tcPr>
            <w:tcW w:type="dxa" w:w="3869"/>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FFFFFF"/>
                <w:sz w:val="15"/>
              </w:rPr>
              <w:t>Website</w:t>
            </w:r>
          </w:p>
        </w:tc>
        <w:tc>
          <w:tcPr>
            <w:tcW w:type="dxa" w:w="386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5"/>
                <w:highlight w:val="yellow"/>
              </w:rPr>
              <w:t>{website}</w:t>
            </w:r>
          </w:p>
        </w:tc>
      </w:tr>
      <w:tr>
        <w:tc>
          <w:tcPr>
            <w:tcW w:type="dxa" w:w="3869"/>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FFFFFF"/>
                <w:sz w:val="15"/>
              </w:rPr>
              <w:t>Prepared for</w:t>
            </w:r>
          </w:p>
        </w:tc>
        <w:tc>
          <w:tcPr>
            <w:tcW w:type="dxa" w:w="386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5"/>
                <w:highlight w:val="yellow"/>
              </w:rPr>
              <w:t>{recipient_name_or_department}</w:t>
            </w:r>
          </w:p>
        </w:tc>
        <w:tc>
          <w:tcPr>
            <w:tcW w:type="dxa" w:w="3869"/>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FFFFFF"/>
                <w:sz w:val="15"/>
              </w:rPr>
              <w:t>Document status</w:t>
            </w:r>
          </w:p>
        </w:tc>
        <w:tc>
          <w:tcPr>
            <w:tcW w:type="dxa" w:w="386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5"/>
                <w:highlight w:val="yellow"/>
              </w:rPr>
              <w:t>{draft_under_review_approved_archived}</w:t>
            </w:r>
          </w:p>
        </w:tc>
      </w:tr>
    </w:tbl>
    <w:tbl>
      <w:tblPr>
        <w:tblW w:type="auto" w:w="0"/>
        <w:jc w:val="center"/>
        <w:tblLook w:firstColumn="1" w:firstRow="1" w:lastColumn="0" w:lastRow="0" w:noHBand="0" w:noVBand="1" w:val="04A0"/>
      </w:tblPr>
      <w:tblGrid>
        <w:gridCol w:w="15478"/>
      </w:tblGrid>
      <w:tr>
        <w:tc>
          <w:tcPr>
            <w:tcW w:type="dxa" w:w="15478"/>
            <w:shd w:fill="D9EAF7"/>
            <w:tcBorders>
              <w:top w:sz="10" w:val="single" w:color="8FB9DD"/>
              <w:left w:sz="10" w:val="single" w:color="8FB9DD"/>
              <w:bottom w:sz="10" w:val="single" w:color="8FB9DD"/>
              <w:right w:sz="10" w:val="single" w:color="8FB9DD"/>
            </w:tcBorders>
            <w:tcMar>
              <w:top w:w="120" w:type="dxa"/>
              <w:start w:w="140" w:type="dxa"/>
              <w:bottom w:w="120" w:type="dxa"/>
              <w:end w:w="140" w:type="dxa"/>
            </w:tcMar>
          </w:tcPr>
          <w:p>
            <w:pPr>
              <w:spacing w:after="0" w:line="240" w:lineRule="auto"/>
            </w:pPr>
            <w:r>
              <w:rPr>
                <w:b/>
                <w:i w:val="0"/>
                <w:color w:val="071A2E"/>
                <w:sz w:val="17"/>
              </w:rPr>
              <w:t>EDITOR INSTRUCTION - TEMPLATE USE</w:t>
            </w:r>
          </w:p>
          <w:p>
            <w:pPr>
              <w:spacing w:after="0" w:line="240" w:lineRule="auto"/>
            </w:pPr>
            <w:r>
              <w:rPr>
                <w:b w:val="0"/>
                <w:i w:val="0"/>
                <w:color w:val="071A2E"/>
                <w:sz w:val="16"/>
              </w:rPr>
              <w:t>Yellow highlighted text is an editable placeholder to be replaced by Arcus-generated data or approved user input. Blue instruction boxes are drafting guidance and should be removed before the final report is issued. Plain black text is standard report wording and should only be changed with authorised legal, compliance or operational approval.</w:t>
            </w:r>
          </w:p>
        </w:tc>
      </w:tr>
    </w:tbl>
    <w:p>
      <w:pPr>
        <w:spacing w:after="0"/>
      </w:pPr>
    </w:p>
    <w:p>
      <w:pPr>
        <w:spacing w:before="100" w:after="80"/>
      </w:pPr>
      <w:r>
        <w:rPr>
          <w:b/>
          <w:color w:val="168AE8"/>
          <w:sz w:val="21"/>
        </w:rPr>
        <w:t>Document Control</w:t>
      </w:r>
    </w:p>
    <w:tbl>
      <w:tblPr>
        <w:tblW w:type="auto" w:w="0"/>
        <w:jc w:val="center"/>
        <w:tblLook w:firstColumn="1" w:firstRow="1" w:lastColumn="0" w:lastRow="0" w:noHBand="0" w:noVBand="1" w:val="04A0"/>
      </w:tblPr>
      <w:tblGrid>
        <w:gridCol w:w="7739"/>
        <w:gridCol w:w="7739"/>
      </w:tblGrid>
      <w:tr>
        <w:trPr>
          <w:tblHeader w:val="true"/>
        </w:trPr>
        <w:tc>
          <w:tcPr>
            <w:tcW w:type="dxa" w:w="2835"/>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FFFFFF"/>
                <w:sz w:val="15"/>
              </w:rPr>
              <w:t>Field</w:t>
            </w:r>
          </w:p>
        </w:tc>
        <w:tc>
          <w:tcPr>
            <w:tcW w:type="dxa" w:w="11339"/>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FFFFFF"/>
                <w:sz w:val="15"/>
              </w:rPr>
              <w:t>Detail</w:t>
            </w:r>
          </w:p>
        </w:tc>
      </w:tr>
      <w:tr>
        <w:tc>
          <w:tcPr>
            <w:tcW w:type="dxa" w:w="2835"/>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5"/>
              </w:rPr>
              <w:t>Report type</w:t>
            </w:r>
          </w:p>
        </w:tc>
        <w:tc>
          <w:tcPr>
            <w:tcW w:type="dxa" w:w="1133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5"/>
                <w:highlight w:val="yellow"/>
              </w:rPr>
              <w:t>{reconciliation_exception_report}</w:t>
            </w:r>
          </w:p>
        </w:tc>
      </w:tr>
      <w:tr>
        <w:tc>
          <w:tcPr>
            <w:tcW w:type="dxa" w:w="2835"/>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5"/>
              </w:rPr>
              <w:t>Asset manager entity</w:t>
            </w:r>
          </w:p>
        </w:tc>
        <w:tc>
          <w:tcPr>
            <w:tcW w:type="dxa" w:w="1133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5"/>
                <w:highlight w:val="yellow"/>
              </w:rPr>
              <w:t>{asset_manager_entity}</w:t>
            </w:r>
          </w:p>
        </w:tc>
      </w:tr>
      <w:tr>
        <w:tc>
          <w:tcPr>
            <w:tcW w:type="dxa" w:w="2835"/>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5"/>
              </w:rPr>
              <w:t>Client portfolio / scope</w:t>
            </w:r>
          </w:p>
        </w:tc>
        <w:tc>
          <w:tcPr>
            <w:tcW w:type="dxa" w:w="1133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5"/>
                <w:highlight w:val="yellow"/>
              </w:rPr>
              <w:t>{client_portfolio_or_all_portfolios}</w:t>
            </w:r>
          </w:p>
        </w:tc>
      </w:tr>
      <w:tr>
        <w:tc>
          <w:tcPr>
            <w:tcW w:type="dxa" w:w="2835"/>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5"/>
              </w:rPr>
              <w:t>Reporting period</w:t>
            </w:r>
          </w:p>
        </w:tc>
        <w:tc>
          <w:tcPr>
            <w:tcW w:type="dxa" w:w="1133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5"/>
                <w:highlight w:val="yellow"/>
              </w:rPr>
              <w:t>{quarter_start_date} to {quarter_end_date}</w:t>
            </w:r>
          </w:p>
        </w:tc>
      </w:tr>
      <w:tr>
        <w:tc>
          <w:tcPr>
            <w:tcW w:type="dxa" w:w="2835"/>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5"/>
              </w:rPr>
              <w:t>Valuation date</w:t>
            </w:r>
          </w:p>
        </w:tc>
        <w:tc>
          <w:tcPr>
            <w:tcW w:type="dxa" w:w="1133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5"/>
                <w:highlight w:val="yellow"/>
              </w:rPr>
              <w:t>{valuation_date}</w:t>
            </w:r>
          </w:p>
        </w:tc>
      </w:tr>
      <w:tr>
        <w:tc>
          <w:tcPr>
            <w:tcW w:type="dxa" w:w="2835"/>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5"/>
              </w:rPr>
              <w:t>Base currency</w:t>
            </w:r>
          </w:p>
        </w:tc>
        <w:tc>
          <w:tcPr>
            <w:tcW w:type="dxa" w:w="1133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5"/>
                <w:highlight w:val="yellow"/>
              </w:rPr>
              <w:t>{base_currency}</w:t>
            </w:r>
          </w:p>
        </w:tc>
      </w:tr>
      <w:tr>
        <w:tc>
          <w:tcPr>
            <w:tcW w:type="dxa" w:w="2835"/>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5"/>
              </w:rPr>
              <w:t>Reporting currency</w:t>
            </w:r>
          </w:p>
        </w:tc>
        <w:tc>
          <w:tcPr>
            <w:tcW w:type="dxa" w:w="1133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5"/>
                <w:highlight w:val="yellow"/>
              </w:rPr>
              <w:t>{reporting_currency}</w:t>
            </w:r>
          </w:p>
        </w:tc>
      </w:tr>
      <w:tr>
        <w:tc>
          <w:tcPr>
            <w:tcW w:type="dxa" w:w="2835"/>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5"/>
              </w:rPr>
              <w:t>Prepared by / maker</w:t>
            </w:r>
          </w:p>
        </w:tc>
        <w:tc>
          <w:tcPr>
            <w:tcW w:type="dxa" w:w="1133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5"/>
                <w:highlight w:val="yellow"/>
              </w:rPr>
              <w:t>{maker_name_and_role}</w:t>
            </w:r>
          </w:p>
        </w:tc>
      </w:tr>
      <w:tr>
        <w:tc>
          <w:tcPr>
            <w:tcW w:type="dxa" w:w="2835"/>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5"/>
              </w:rPr>
              <w:t>Checker approver</w:t>
            </w:r>
          </w:p>
        </w:tc>
        <w:tc>
          <w:tcPr>
            <w:tcW w:type="dxa" w:w="1133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5"/>
                <w:highlight w:val="yellow"/>
              </w:rPr>
              <w:t>{checker_name_and_role}</w:t>
            </w:r>
          </w:p>
        </w:tc>
      </w:tr>
      <w:tr>
        <w:tc>
          <w:tcPr>
            <w:tcW w:type="dxa" w:w="2835"/>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5"/>
              </w:rPr>
              <w:t>Report version</w:t>
            </w:r>
          </w:p>
        </w:tc>
        <w:tc>
          <w:tcPr>
            <w:tcW w:type="dxa" w:w="1133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5"/>
                <w:highlight w:val="yellow"/>
              </w:rPr>
              <w:t>{version_number}</w:t>
            </w:r>
          </w:p>
        </w:tc>
      </w:tr>
      <w:tr>
        <w:tc>
          <w:tcPr>
            <w:tcW w:type="dxa" w:w="2835"/>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5"/>
              </w:rPr>
              <w:t>Report run ID</w:t>
            </w:r>
          </w:p>
        </w:tc>
        <w:tc>
          <w:tcPr>
            <w:tcW w:type="dxa" w:w="1133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5"/>
                <w:highlight w:val="yellow"/>
              </w:rPr>
              <w:t>{reporting_run_id}</w:t>
            </w:r>
          </w:p>
        </w:tc>
      </w:tr>
    </w:tbl>
    <w:p>
      <w:pPr>
        <w:spacing w:before="100" w:after="80"/>
      </w:pPr>
      <w:r>
        <w:rPr>
          <w:b/>
          <w:color w:val="168AE8"/>
          <w:sz w:val="21"/>
        </w:rPr>
        <w:t>Confidentiality and Reliance Notice</w:t>
      </w:r>
    </w:p>
    <w:p>
      <w:pPr>
        <w:spacing w:after="80" w:line="252" w:lineRule="auto"/>
      </w:pPr>
      <w:r>
        <w:rPr>
          <w:b w:val="0"/>
          <w:i w:val="0"/>
          <w:color w:val="000000"/>
          <w:sz w:val="17"/>
        </w:rPr>
        <w:t>This Reconciliation Exception Report is confidential and is prepared for the internal use of the asset manager, authorised operations personnel, compliance officers, auditors and other approved recipients. It records reconciliation differences identified between Arcus internal portfolio records and approved external evidence, including broker statements, custodian records, bank statements and other authorised source documents.</w:t>
      </w:r>
    </w:p>
    <w:p>
      <w:pPr>
        <w:spacing w:after="80" w:line="252" w:lineRule="auto"/>
      </w:pPr>
      <w:r>
        <w:rPr>
          <w:b w:val="0"/>
          <w:i w:val="0"/>
          <w:color w:val="000000"/>
          <w:sz w:val="17"/>
        </w:rPr>
        <w:t>This report is a control document. It does not amend client records, portfolio values, NAV, accounting entries, security prices, holdings or cash balances. Any adjustment required to resolve an exception must be processed in the relevant approved source module and routed through the applicable review and approval workflow.</w:t>
      </w:r>
    </w:p>
    <w:p>
      <w:r>
        <w:br w:type="page"/>
      </w:r>
    </w:p>
    <w:p>
      <w:pPr>
        <w:spacing w:before="160" w:after="80"/>
        <w:pBdr>
          <w:bottom w:val="single" w:sz="6" w:space="1" w:color="D6DEE6"/>
        </w:pBdr>
      </w:pPr>
      <w:r>
        <w:rPr>
          <w:b/>
          <w:color w:val="071A2E"/>
          <w:sz w:val="28"/>
        </w:rPr>
        <w:t>1. Report Purpose and Basis of Preparation</w:t>
      </w:r>
    </w:p>
    <w:tbl>
      <w:tblPr>
        <w:tblW w:type="auto" w:w="0"/>
        <w:jc w:val="center"/>
        <w:tblLook w:firstColumn="1" w:firstRow="1" w:lastColumn="0" w:lastRow="0" w:noHBand="0" w:noVBand="1" w:val="04A0"/>
      </w:tblPr>
      <w:tblGrid>
        <w:gridCol w:w="15478"/>
      </w:tblGrid>
      <w:tr>
        <w:tc>
          <w:tcPr>
            <w:tcW w:type="dxa" w:w="15478"/>
            <w:shd w:fill="D9EAF7"/>
            <w:tcBorders>
              <w:top w:sz="10" w:val="single" w:color="8FB9DD"/>
              <w:left w:sz="10" w:val="single" w:color="8FB9DD"/>
              <w:bottom w:sz="10" w:val="single" w:color="8FB9DD"/>
              <w:right w:sz="10" w:val="single" w:color="8FB9DD"/>
            </w:tcBorders>
            <w:tcMar>
              <w:top w:w="120" w:type="dxa"/>
              <w:start w:w="140" w:type="dxa"/>
              <w:bottom w:w="120" w:type="dxa"/>
              <w:end w:w="140" w:type="dxa"/>
            </w:tcMar>
          </w:tcPr>
          <w:p>
            <w:pPr>
              <w:spacing w:after="0" w:line="240" w:lineRule="auto"/>
            </w:pPr>
            <w:r>
              <w:rPr>
                <w:b/>
                <w:i w:val="0"/>
                <w:color w:val="071A2E"/>
                <w:sz w:val="17"/>
              </w:rPr>
              <w:t>INSTRUCTION - PURPOSE</w:t>
            </w:r>
          </w:p>
          <w:p>
            <w:pPr>
              <w:spacing w:after="0" w:line="240" w:lineRule="auto"/>
            </w:pPr>
            <w:r>
              <w:rPr>
                <w:b w:val="0"/>
                <w:i w:val="0"/>
                <w:color w:val="071A2E"/>
                <w:sz w:val="16"/>
              </w:rPr>
              <w:t>Use this section to state why the reconciliation was performed, which records were compared and whether the report supports client reporting, regulatory evidence, audit support or quarter-close controls.</w:t>
            </w:r>
          </w:p>
        </w:tc>
      </w:tr>
    </w:tbl>
    <w:p>
      <w:pPr>
        <w:spacing w:after="0"/>
      </w:pPr>
    </w:p>
    <w:p>
      <w:pPr>
        <w:spacing w:after="80" w:line="252" w:lineRule="auto"/>
      </w:pPr>
      <w:r>
        <w:rPr>
          <w:b w:val="0"/>
          <w:i w:val="0"/>
          <w:color w:val="000000"/>
          <w:sz w:val="17"/>
        </w:rPr>
        <w:t>The purpose of this report is to identify, classify, age, assign and track reconciliation exceptions arising from the comparison of internal Arcus records against approved external source records for the reporting period.</w:t>
      </w:r>
    </w:p>
    <w:p>
      <w:pPr>
        <w:spacing w:after="40"/>
        <w:ind w:left="255" w:hanging="142"/>
      </w:pPr>
      <w:r>
        <w:rPr>
          <w:b/>
          <w:i w:val="0"/>
          <w:color w:val="168AE8"/>
          <w:sz w:val="16"/>
        </w:rPr>
        <w:t xml:space="preserve">• </w:t>
      </w:r>
      <w:r>
        <w:rPr>
          <w:b/>
          <w:i w:val="0"/>
          <w:color w:val="000000"/>
          <w:sz w:val="16"/>
        </w:rPr>
        <w:t xml:space="preserve">Internal records compared: </w:t>
      </w:r>
      <w:r>
        <w:rPr>
          <w:b w:val="0"/>
          <w:i w:val="0"/>
          <w:color w:val="000000"/>
          <w:sz w:val="16"/>
        </w:rPr>
        <w:t>{internal_portfolio_ledger_trade_blotter_cash_ledger_positions_income_fee_nav_records}</w:t>
      </w:r>
    </w:p>
    <w:p>
      <w:pPr>
        <w:spacing w:after="40"/>
        <w:ind w:left="255" w:hanging="142"/>
      </w:pPr>
      <w:r>
        <w:rPr>
          <w:b/>
          <w:i w:val="0"/>
          <w:color w:val="168AE8"/>
          <w:sz w:val="16"/>
        </w:rPr>
        <w:t xml:space="preserve">• </w:t>
      </w:r>
      <w:r>
        <w:rPr>
          <w:b/>
          <w:i w:val="0"/>
          <w:color w:val="000000"/>
          <w:sz w:val="16"/>
        </w:rPr>
        <w:t xml:space="preserve">External records compared: </w:t>
      </w:r>
      <w:r>
        <w:rPr>
          <w:b w:val="0"/>
          <w:i w:val="0"/>
          <w:color w:val="000000"/>
          <w:sz w:val="16"/>
        </w:rPr>
        <w:t>{broker_statements_custodian_reports_bank_statements_settlement_files_pricing_files}</w:t>
      </w:r>
    </w:p>
    <w:p>
      <w:pPr>
        <w:spacing w:after="40"/>
        <w:ind w:left="255" w:hanging="142"/>
      </w:pPr>
      <w:r>
        <w:rPr>
          <w:b/>
          <w:i w:val="0"/>
          <w:color w:val="168AE8"/>
          <w:sz w:val="16"/>
        </w:rPr>
        <w:t xml:space="preserve">• </w:t>
      </w:r>
      <w:r>
        <w:rPr>
          <w:b/>
          <w:i w:val="0"/>
          <w:color w:val="000000"/>
          <w:sz w:val="16"/>
        </w:rPr>
        <w:t xml:space="preserve">Reconciliation date: </w:t>
      </w:r>
      <w:r>
        <w:rPr>
          <w:b w:val="0"/>
          <w:i w:val="0"/>
          <w:color w:val="000000"/>
          <w:sz w:val="16"/>
        </w:rPr>
        <w:t>{reconciliation_date}</w:t>
      </w:r>
    </w:p>
    <w:p>
      <w:pPr>
        <w:spacing w:after="40"/>
        <w:ind w:left="255" w:hanging="142"/>
      </w:pPr>
      <w:r>
        <w:rPr>
          <w:b/>
          <w:i w:val="0"/>
          <w:color w:val="168AE8"/>
          <w:sz w:val="16"/>
        </w:rPr>
        <w:t xml:space="preserve">• </w:t>
      </w:r>
      <w:r>
        <w:rPr>
          <w:b/>
          <w:i w:val="0"/>
          <w:color w:val="000000"/>
          <w:sz w:val="16"/>
        </w:rPr>
        <w:t xml:space="preserve">Materiality threshold: </w:t>
      </w:r>
      <w:r>
        <w:rPr>
          <w:b w:val="0"/>
          <w:i w:val="0"/>
          <w:color w:val="000000"/>
          <w:sz w:val="16"/>
        </w:rPr>
        <w:t>{materiality_threshold_amount_or_percentage}</w:t>
      </w:r>
    </w:p>
    <w:p>
      <w:pPr>
        <w:spacing w:after="40"/>
        <w:ind w:left="255" w:hanging="142"/>
      </w:pPr>
      <w:r>
        <w:rPr>
          <w:b/>
          <w:i w:val="0"/>
          <w:color w:val="168AE8"/>
          <w:sz w:val="16"/>
        </w:rPr>
        <w:t xml:space="preserve">• </w:t>
      </w:r>
      <w:r>
        <w:rPr>
          <w:b/>
          <w:i w:val="0"/>
          <w:color w:val="000000"/>
          <w:sz w:val="16"/>
        </w:rPr>
        <w:t xml:space="preserve">Tolerance rules: </w:t>
      </w:r>
      <w:r>
        <w:rPr>
          <w:b w:val="0"/>
          <w:i w:val="0"/>
          <w:color w:val="000000"/>
          <w:sz w:val="16"/>
        </w:rPr>
        <w:t>{approved_tolerance_rules}</w:t>
      </w:r>
    </w:p>
    <w:p>
      <w:pPr>
        <w:spacing w:after="40"/>
        <w:ind w:left="255" w:hanging="142"/>
      </w:pPr>
      <w:r>
        <w:rPr>
          <w:b/>
          <w:i w:val="0"/>
          <w:color w:val="168AE8"/>
          <w:sz w:val="16"/>
        </w:rPr>
        <w:t xml:space="preserve">• </w:t>
      </w:r>
      <w:r>
        <w:rPr>
          <w:b/>
          <w:i w:val="0"/>
          <w:color w:val="000000"/>
          <w:sz w:val="16"/>
        </w:rPr>
        <w:t xml:space="preserve">Output use: </w:t>
      </w:r>
      <w:r>
        <w:rPr>
          <w:b w:val="0"/>
          <w:i w:val="0"/>
          <w:color w:val="000000"/>
          <w:sz w:val="16"/>
        </w:rPr>
        <w:t>{client_reporting_quarter_close_audit_regulatory_support_internal_control}</w:t>
      </w:r>
    </w:p>
    <w:p>
      <w:pPr>
        <w:spacing w:before="160" w:after="80"/>
        <w:pBdr>
          <w:bottom w:val="single" w:sz="6" w:space="1" w:color="D6DEE6"/>
        </w:pBdr>
      </w:pPr>
      <w:r>
        <w:rPr>
          <w:b/>
          <w:color w:val="071A2E"/>
          <w:sz w:val="28"/>
        </w:rPr>
        <w:t>2. Reconciliation Scope</w:t>
      </w:r>
    </w:p>
    <w:tbl>
      <w:tblPr>
        <w:tblW w:type="auto" w:w="0"/>
        <w:jc w:val="center"/>
        <w:tblLook w:firstColumn="1" w:firstRow="1" w:lastColumn="0" w:lastRow="0" w:noHBand="0" w:noVBand="1" w:val="04A0"/>
      </w:tblPr>
      <w:tblGrid>
        <w:gridCol w:w="2580"/>
        <w:gridCol w:w="2580"/>
        <w:gridCol w:w="2580"/>
        <w:gridCol w:w="2580"/>
        <w:gridCol w:w="2580"/>
        <w:gridCol w:w="2580"/>
      </w:tblGrid>
      <w:tr>
        <w:trPr>
          <w:tblHeader w:val="true"/>
        </w:trPr>
        <w:tc>
          <w:tcPr>
            <w:tcW w:type="dxa" w:w="2580"/>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Area</w:t>
            </w:r>
          </w:p>
        </w:tc>
        <w:tc>
          <w:tcPr>
            <w:tcW w:type="dxa" w:w="2580"/>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Internal source</w:t>
            </w:r>
          </w:p>
        </w:tc>
        <w:tc>
          <w:tcPr>
            <w:tcW w:type="dxa" w:w="2580"/>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External source</w:t>
            </w:r>
          </w:p>
        </w:tc>
        <w:tc>
          <w:tcPr>
            <w:tcW w:type="dxa" w:w="2580"/>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Frequency</w:t>
            </w:r>
          </w:p>
        </w:tc>
        <w:tc>
          <w:tcPr>
            <w:tcW w:type="dxa" w:w="2580"/>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Status</w:t>
            </w:r>
          </w:p>
        </w:tc>
        <w:tc>
          <w:tcPr>
            <w:tcW w:type="dxa" w:w="2580"/>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Owner</w:t>
            </w:r>
          </w:p>
        </w:tc>
      </w:tr>
      <w:tr>
        <w:trPr>
          <w:cantSplit/>
        </w:trPr>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Holdings / positions</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{portfolio_holdings_positions}</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{custodian_position_statement}</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{daily_monthly_quarterly}</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{complete_in_progress}</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{operations_owner}</w:t>
            </w:r>
          </w:p>
        </w:tc>
      </w:tr>
      <w:tr>
        <w:trPr>
          <w:cantSplit/>
        </w:trPr>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Trades / settlements</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{trade_executions_orders}</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{broker_contract_notes_settlement_report}</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{daily_monthly_quarterly}</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{complete_in_progress}</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{trade_ops_owner}</w:t>
            </w:r>
          </w:p>
        </w:tc>
      </w:tr>
      <w:tr>
        <w:trPr>
          <w:cantSplit/>
        </w:trPr>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Cash balances</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{cash_balances_bank_ledger}</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{bank_statement_cash_custodian_report}</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{daily_monthly_quarterly}</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{complete_in_progress}</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{cash_ops_owner}</w:t>
            </w:r>
          </w:p>
        </w:tc>
      </w:tr>
      <w:tr>
        <w:trPr>
          <w:cantSplit/>
        </w:trPr>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Income and coupons</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{income_events_accruals}</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{custodian_income_report_bank_receipts}</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{monthly_quarterly}</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{complete_in_progress}</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{fund_accountant}</w:t>
            </w:r>
          </w:p>
        </w:tc>
      </w:tr>
      <w:tr>
        <w:trPr>
          <w:cantSplit/>
        </w:trPr>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Fees and expenses</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{fees_expense_accruals}</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{invoices_bank_payments_custodian_charges}</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{monthly_quarterly}</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{complete_in_progress}</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{fund_accountant}</w:t>
            </w:r>
          </w:p>
        </w:tc>
      </w:tr>
      <w:tr>
        <w:trPr>
          <w:cantSplit/>
        </w:trPr>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NAV / portfolio value</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{portfolio_valuations_nav}</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{valuation_report_custodian_value_statement}</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{quarterly}</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{complete_in_progress}</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{valuation_owner}</w:t>
            </w:r>
          </w:p>
        </w:tc>
      </w:tr>
      <w:tr>
        <w:trPr>
          <w:cantSplit/>
        </w:trPr>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FX rates</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{approved_fx_rates}</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{approved_market_or_bank_fx_source}</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{daily_monthly_quarterly}</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{complete_in_progress}</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{operations_owner}</w:t>
            </w:r>
          </w:p>
        </w:tc>
      </w:tr>
    </w:tbl>
    <w:p>
      <w:pPr>
        <w:spacing w:before="160" w:after="80"/>
        <w:pBdr>
          <w:bottom w:val="single" w:sz="6" w:space="1" w:color="D6DEE6"/>
        </w:pBdr>
      </w:pPr>
      <w:r>
        <w:rPr>
          <w:b/>
          <w:color w:val="071A2E"/>
          <w:sz w:val="28"/>
        </w:rPr>
        <w:t>3. Executive Summary of Exceptions</w:t>
      </w:r>
    </w:p>
    <w:tbl>
      <w:tblPr>
        <w:tblW w:type="auto" w:w="0"/>
        <w:jc w:val="center"/>
        <w:tblLook w:firstColumn="1" w:firstRow="1" w:lastColumn="0" w:lastRow="0" w:noHBand="0" w:noVBand="1" w:val="04A0"/>
      </w:tblPr>
      <w:tblGrid>
        <w:gridCol w:w="15478"/>
      </w:tblGrid>
      <w:tr>
        <w:tc>
          <w:tcPr>
            <w:tcW w:type="dxa" w:w="15478"/>
            <w:shd w:fill="D9EAF7"/>
            <w:tcBorders>
              <w:top w:sz="10" w:val="single" w:color="8FB9DD"/>
              <w:left w:sz="10" w:val="single" w:color="8FB9DD"/>
              <w:bottom w:sz="10" w:val="single" w:color="8FB9DD"/>
              <w:right w:sz="10" w:val="single" w:color="8FB9DD"/>
            </w:tcBorders>
            <w:tcMar>
              <w:top w:w="120" w:type="dxa"/>
              <w:start w:w="140" w:type="dxa"/>
              <w:bottom w:w="120" w:type="dxa"/>
              <w:end w:w="140" w:type="dxa"/>
            </w:tcMar>
          </w:tcPr>
          <w:p>
            <w:pPr>
              <w:spacing w:after="0" w:line="240" w:lineRule="auto"/>
            </w:pPr>
            <w:r>
              <w:rPr>
                <w:b/>
                <w:i w:val="0"/>
                <w:color w:val="071A2E"/>
                <w:sz w:val="17"/>
              </w:rPr>
              <w:t>INSTRUCTION - EXECUTIVE SUMMARY</w:t>
            </w:r>
          </w:p>
          <w:p>
            <w:pPr>
              <w:spacing w:after="0" w:line="240" w:lineRule="auto"/>
            </w:pPr>
            <w:r>
              <w:rPr>
                <w:b w:val="0"/>
                <w:i w:val="0"/>
                <w:color w:val="071A2E"/>
                <w:sz w:val="16"/>
              </w:rPr>
              <w:t>Complete this summary after the detailed exception register is populated. It should be clear enough for a checker, auditor or compliance officer to understand the unresolved risk at a glance.</w:t>
            </w:r>
          </w:p>
        </w:tc>
      </w:tr>
    </w:tbl>
    <w:p>
      <w:pPr>
        <w:spacing w:after="0"/>
      </w:pPr>
    </w:p>
    <w:tbl>
      <w:tblPr>
        <w:tblW w:type="auto" w:w="0"/>
        <w:jc w:val="center"/>
        <w:tblLook w:firstColumn="1" w:firstRow="1" w:lastColumn="0" w:lastRow="0" w:noHBand="0" w:noVBand="1" w:val="04A0"/>
      </w:tblPr>
      <w:tblGrid>
        <w:gridCol w:w="3096"/>
        <w:gridCol w:w="3096"/>
        <w:gridCol w:w="3096"/>
        <w:gridCol w:w="3096"/>
        <w:gridCol w:w="3096"/>
      </w:tblGrid>
      <w:tr>
        <w:trPr>
          <w:tblHeader w:val="true"/>
        </w:trPr>
        <w:tc>
          <w:tcPr>
            <w:tcW w:type="dxa" w:w="3096"/>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Metric</w:t>
            </w:r>
          </w:p>
        </w:tc>
        <w:tc>
          <w:tcPr>
            <w:tcW w:type="dxa" w:w="3096"/>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Current period</w:t>
            </w:r>
          </w:p>
        </w:tc>
        <w:tc>
          <w:tcPr>
            <w:tcW w:type="dxa" w:w="3096"/>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Prior period</w:t>
            </w:r>
          </w:p>
        </w:tc>
        <w:tc>
          <w:tcPr>
            <w:tcW w:type="dxa" w:w="3096"/>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Movement</w:t>
            </w:r>
          </w:p>
        </w:tc>
        <w:tc>
          <w:tcPr>
            <w:tcW w:type="dxa" w:w="3096"/>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Commentary</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Total reconciliation breaks identified</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{current_total_breaks}</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{prior_total_breaks}</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{movement_total_breaks}</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{commentary}</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Open breaks at report date</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{current_open_breaks}</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{prior_open_breaks}</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{movement_open_breaks}</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{commentary}</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Resolved during period</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{resolved_breaks}</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{prior_resolved_breaks}</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{movement_resolved_breaks}</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{commentary}</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Material unresolved breaks</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{material_unresolved_breaks}</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{prior_material_unresolved}</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{movement_material}</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{commentary}</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NAV-impacting breaks</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{nav_impacting_breaks}</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{prior_nav_impacting}</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{movement_nav_impacting}</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{commentary}</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Client-statement-impacting breaks</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{client_statement_impacting_breaks}</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{prior_client_statement_impacting}</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{movement_client_statement}</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{commentary}</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Regulatory / compliance-impacting breaks</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{regulatory_impacting_breaks}</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{prior_regulatory_impacting}</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{movement_regulatory}</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{commentary}</w:t>
            </w:r>
          </w:p>
        </w:tc>
      </w:tr>
    </w:tbl>
    <w:p>
      <w:pPr>
        <w:spacing w:before="160" w:after="80"/>
        <w:pBdr>
          <w:bottom w:val="single" w:sz="6" w:space="1" w:color="D6DEE6"/>
        </w:pBdr>
      </w:pPr>
      <w:r>
        <w:rPr>
          <w:b/>
          <w:color w:val="071A2E"/>
          <w:sz w:val="28"/>
        </w:rPr>
        <w:t>4. Exception Dashboard</w:t>
      </w:r>
    </w:p>
    <w:tbl>
      <w:tblPr>
        <w:tblW w:type="auto" w:w="0"/>
        <w:jc w:val="center"/>
        <w:tblLook w:firstColumn="1" w:firstRow="1" w:lastColumn="0" w:lastRow="0" w:noHBand="0" w:noVBand="1" w:val="04A0"/>
      </w:tblPr>
      <w:tblGrid>
        <w:gridCol w:w="2211"/>
        <w:gridCol w:w="2211"/>
        <w:gridCol w:w="2211"/>
        <w:gridCol w:w="2211"/>
        <w:gridCol w:w="2211"/>
        <w:gridCol w:w="2211"/>
        <w:gridCol w:w="2211"/>
      </w:tblGrid>
      <w:tr>
        <w:trPr>
          <w:tblHeader w:val="true"/>
        </w:trPr>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Exception category</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Count</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Gross value</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Net NAV impact</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Oldest age</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Materiality status</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Resolution status</w:t>
            </w:r>
          </w:p>
        </w:tc>
      </w:tr>
      <w:tr>
        <w:trPr>
          <w:cantSplit/>
        </w:trPr>
        <w:tc>
          <w:tcPr>
            <w:tcW w:type="dxa" w:w="2211"/>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Holdings / position breaks</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{count}</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{gross_value}</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{nav_impact}</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{oldest_age}</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{material_not_material}</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{status}</w:t>
            </w:r>
          </w:p>
        </w:tc>
      </w:tr>
      <w:tr>
        <w:trPr>
          <w:cantSplit/>
        </w:trPr>
        <w:tc>
          <w:tcPr>
            <w:tcW w:type="dxa" w:w="2211"/>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Cash breaks</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{count}</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{gross_value}</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{nav_impact}</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{oldest_age}</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{material_not_material}</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{status}</w:t>
            </w:r>
          </w:p>
        </w:tc>
      </w:tr>
      <w:tr>
        <w:trPr>
          <w:cantSplit/>
        </w:trPr>
        <w:tc>
          <w:tcPr>
            <w:tcW w:type="dxa" w:w="2211"/>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Trade / settlement breaks</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{count}</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{gross_value}</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{nav_impact}</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{oldest_age}</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{material_not_material}</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{status}</w:t>
            </w:r>
          </w:p>
        </w:tc>
      </w:tr>
      <w:tr>
        <w:trPr>
          <w:cantSplit/>
        </w:trPr>
        <w:tc>
          <w:tcPr>
            <w:tcW w:type="dxa" w:w="2211"/>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Income / coupon / dividend breaks</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{count}</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{gross_value}</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{nav_impact}</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{oldest_age}</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{material_not_material}</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{status}</w:t>
            </w:r>
          </w:p>
        </w:tc>
      </w:tr>
      <w:tr>
        <w:trPr>
          <w:cantSplit/>
        </w:trPr>
        <w:tc>
          <w:tcPr>
            <w:tcW w:type="dxa" w:w="2211"/>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Fee / expense breaks</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{count}</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{gross_value}</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{nav_impact}</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{oldest_age}</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{material_not_material}</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{status}</w:t>
            </w:r>
          </w:p>
        </w:tc>
      </w:tr>
      <w:tr>
        <w:trPr>
          <w:cantSplit/>
        </w:trPr>
        <w:tc>
          <w:tcPr>
            <w:tcW w:type="dxa" w:w="2211"/>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Price / valuation breaks</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{count}</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{gross_value}</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{nav_impact}</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{oldest_age}</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{material_not_material}</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{status}</w:t>
            </w:r>
          </w:p>
        </w:tc>
      </w:tr>
      <w:tr>
        <w:trPr>
          <w:cantSplit/>
        </w:trPr>
        <w:tc>
          <w:tcPr>
            <w:tcW w:type="dxa" w:w="2211"/>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FX / currency breaks</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{count}</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{gross_value}</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{nav_impact}</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{oldest_age}</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{material_not_material}</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{status}</w:t>
            </w:r>
          </w:p>
        </w:tc>
      </w:tr>
      <w:tr>
        <w:trPr>
          <w:cantSplit/>
        </w:trPr>
        <w:tc>
          <w:tcPr>
            <w:tcW w:type="dxa" w:w="2211"/>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Corporate action breaks</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{count}</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{gross_value}</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{nav_impact}</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{oldest_age}</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{material_not_material}</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{status}</w:t>
            </w:r>
          </w:p>
        </w:tc>
      </w:tr>
    </w:tbl>
    <w:p>
      <w:r>
        <w:br w:type="page"/>
      </w:r>
    </w:p>
    <w:p>
      <w:pPr>
        <w:spacing w:before="160" w:after="80"/>
        <w:pBdr>
          <w:bottom w:val="single" w:sz="6" w:space="1" w:color="D6DEE6"/>
        </w:pBdr>
      </w:pPr>
      <w:r>
        <w:rPr>
          <w:b/>
          <w:color w:val="071A2E"/>
          <w:sz w:val="28"/>
        </w:rPr>
        <w:t>5. Detailed Reconciliation Exception Register</w:t>
      </w:r>
    </w:p>
    <w:tbl>
      <w:tblPr>
        <w:tblW w:type="auto" w:w="0"/>
        <w:jc w:val="center"/>
        <w:tblLook w:firstColumn="1" w:firstRow="1" w:lastColumn="0" w:lastRow="0" w:noHBand="0" w:noVBand="1" w:val="04A0"/>
      </w:tblPr>
      <w:tblGrid>
        <w:gridCol w:w="15478"/>
      </w:tblGrid>
      <w:tr>
        <w:tc>
          <w:tcPr>
            <w:tcW w:type="dxa" w:w="15478"/>
            <w:shd w:fill="D9EAF7"/>
            <w:tcBorders>
              <w:top w:sz="10" w:val="single" w:color="8FB9DD"/>
              <w:left w:sz="10" w:val="single" w:color="8FB9DD"/>
              <w:bottom w:sz="10" w:val="single" w:color="8FB9DD"/>
              <w:right w:sz="10" w:val="single" w:color="8FB9DD"/>
            </w:tcBorders>
            <w:tcMar>
              <w:top w:w="120" w:type="dxa"/>
              <w:start w:w="140" w:type="dxa"/>
              <w:bottom w:w="120" w:type="dxa"/>
              <w:end w:w="140" w:type="dxa"/>
            </w:tcMar>
          </w:tcPr>
          <w:p>
            <w:pPr>
              <w:spacing w:after="0" w:line="240" w:lineRule="auto"/>
            </w:pPr>
            <w:r>
              <w:rPr>
                <w:b/>
                <w:i w:val="0"/>
                <w:color w:val="071A2E"/>
                <w:sz w:val="17"/>
              </w:rPr>
              <w:t>INSTRUCTION - DETAILED REGISTER</w:t>
            </w:r>
          </w:p>
          <w:p>
            <w:pPr>
              <w:spacing w:after="0" w:line="240" w:lineRule="auto"/>
            </w:pPr>
            <w:r>
              <w:rPr>
                <w:b w:val="0"/>
                <w:i w:val="0"/>
                <w:color w:val="071A2E"/>
                <w:sz w:val="16"/>
              </w:rPr>
              <w:t>Populate one row per exception. Do not net unrelated breaks together. Every exception should have a source reference, owner, ageing, proposed resolution and evidence reference. Where an adjustment is required, record the source module where the adjustment must be processed.</w:t>
            </w:r>
          </w:p>
        </w:tc>
      </w:tr>
    </w:tbl>
    <w:p>
      <w:pPr>
        <w:spacing w:after="0"/>
      </w:pPr>
    </w:p>
    <w:tbl>
      <w:tblPr>
        <w:tblW w:type="auto" w:w="0"/>
        <w:jc w:val="center"/>
        <w:tblLook w:firstColumn="1" w:firstRow="1" w:lastColumn="0" w:lastRow="0" w:noHBand="0" w:noVBand="1" w:val="04A0"/>
      </w:tblPr>
      <w:tblGrid>
        <w:gridCol w:w="1191"/>
        <w:gridCol w:w="1191"/>
        <w:gridCol w:w="1191"/>
        <w:gridCol w:w="1191"/>
        <w:gridCol w:w="1191"/>
        <w:gridCol w:w="1191"/>
        <w:gridCol w:w="1191"/>
        <w:gridCol w:w="1191"/>
        <w:gridCol w:w="1191"/>
        <w:gridCol w:w="1191"/>
        <w:gridCol w:w="1191"/>
        <w:gridCol w:w="1191"/>
        <w:gridCol w:w="1191"/>
      </w:tblGrid>
      <w:tr>
        <w:trPr>
          <w:tblHeader w:val="true"/>
        </w:trPr>
        <w:tc>
          <w:tcPr>
            <w:tcW w:type="dxa" w:w="119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1"/>
              </w:rPr>
              <w:t>Exception ID</w:t>
            </w:r>
          </w:p>
        </w:tc>
        <w:tc>
          <w:tcPr>
            <w:tcW w:type="dxa" w:w="119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1"/>
              </w:rPr>
              <w:t>Portfolio / account</w:t>
            </w:r>
          </w:p>
        </w:tc>
        <w:tc>
          <w:tcPr>
            <w:tcW w:type="dxa" w:w="119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1"/>
              </w:rPr>
              <w:t>Break category</w:t>
            </w:r>
          </w:p>
        </w:tc>
        <w:tc>
          <w:tcPr>
            <w:tcW w:type="dxa" w:w="119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1"/>
              </w:rPr>
              <w:t>Instrument / cash account</w:t>
            </w:r>
          </w:p>
        </w:tc>
        <w:tc>
          <w:tcPr>
            <w:tcW w:type="dxa" w:w="119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1"/>
              </w:rPr>
              <w:t>Internal value</w:t>
            </w:r>
          </w:p>
        </w:tc>
        <w:tc>
          <w:tcPr>
            <w:tcW w:type="dxa" w:w="119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1"/>
              </w:rPr>
              <w:t>External value</w:t>
            </w:r>
          </w:p>
        </w:tc>
        <w:tc>
          <w:tcPr>
            <w:tcW w:type="dxa" w:w="119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1"/>
              </w:rPr>
              <w:t>Difference</w:t>
            </w:r>
          </w:p>
        </w:tc>
        <w:tc>
          <w:tcPr>
            <w:tcW w:type="dxa" w:w="119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1"/>
              </w:rPr>
              <w:t>Ageing</w:t>
            </w:r>
          </w:p>
        </w:tc>
        <w:tc>
          <w:tcPr>
            <w:tcW w:type="dxa" w:w="119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1"/>
              </w:rPr>
              <w:t>Root cause</w:t>
            </w:r>
          </w:p>
        </w:tc>
        <w:tc>
          <w:tcPr>
            <w:tcW w:type="dxa" w:w="119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1"/>
              </w:rPr>
              <w:t>Proposed resolution</w:t>
            </w:r>
          </w:p>
        </w:tc>
        <w:tc>
          <w:tcPr>
            <w:tcW w:type="dxa" w:w="119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1"/>
              </w:rPr>
              <w:t>Owner</w:t>
            </w:r>
          </w:p>
        </w:tc>
        <w:tc>
          <w:tcPr>
            <w:tcW w:type="dxa" w:w="119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1"/>
              </w:rPr>
              <w:t>Due date</w:t>
            </w:r>
          </w:p>
        </w:tc>
        <w:tc>
          <w:tcPr>
            <w:tcW w:type="dxa" w:w="119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1"/>
              </w:rPr>
              <w:t>Status</w:t>
            </w:r>
          </w:p>
        </w:tc>
      </w:tr>
      <w:tr>
        <w:trPr>
          <w:cantSplit/>
        </w:trPr>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1"/>
                <w:highlight w:val="yellow"/>
              </w:rPr>
              <w:t>{exception_id_001}</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{portfolio_or_account}</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{holdings_cash_trade_income_fee_fx_valuation}</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{instrument_or_account}</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{internal_value}</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{external_value}</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{difference}</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{0_30_31_60_61_90_90_plus}</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{root_cause}</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{resolution_action}</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{owner}</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{due_date}</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{open_resolved_escalated}</w:t>
            </w:r>
          </w:p>
        </w:tc>
      </w:tr>
      <w:tr>
        <w:trPr>
          <w:cantSplit/>
        </w:trPr>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1"/>
                <w:highlight w:val="yellow"/>
              </w:rPr>
              <w:t>{exception_id_002}</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{portfolio_or_account}</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{holdings_cash_trade_income_fee_fx_valuation}</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{instrument_or_account}</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{internal_value}</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{external_value}</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{difference}</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{0_30_31_60_61_90_90_plus}</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{root_cause}</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{resolution_action}</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{owner}</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{due_date}</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{open_resolved_escalated}</w:t>
            </w:r>
          </w:p>
        </w:tc>
      </w:tr>
      <w:tr>
        <w:trPr>
          <w:cantSplit/>
        </w:trPr>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1"/>
                <w:highlight w:val="yellow"/>
              </w:rPr>
              <w:t>{exception_id_003}</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{portfolio_or_account}</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{holdings_cash_trade_income_fee_fx_valuation}</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{instrument_or_account}</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{internal_value}</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{external_value}</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{difference}</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{0_30_31_60_61_90_90_plus}</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{root_cause}</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{resolution_action}</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{owner}</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{due_date}</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{open_resolved_escalated}</w:t>
            </w:r>
          </w:p>
        </w:tc>
      </w:tr>
      <w:tr>
        <w:trPr>
          <w:cantSplit/>
        </w:trPr>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1"/>
                <w:highlight w:val="yellow"/>
              </w:rPr>
              <w:t>{exception_id_004}</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{portfolio_or_account}</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{holdings_cash_trade_income_fee_fx_valuation}</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{instrument_or_account}</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{internal_value}</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{external_value}</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{difference}</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{0_30_31_60_61_90_90_plus}</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{root_cause}</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{resolution_action}</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{owner}</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{due_date}</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{open_resolved_escalated}</w:t>
            </w:r>
          </w:p>
        </w:tc>
      </w:tr>
      <w:tr>
        <w:trPr>
          <w:cantSplit/>
        </w:trPr>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1"/>
                <w:highlight w:val="yellow"/>
              </w:rPr>
              <w:t>{exception_id_005}</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{portfolio_or_account}</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{holdings_cash_trade_income_fee_fx_valuation}</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{instrument_or_account}</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{internal_value}</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{external_value}</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{difference}</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{0_30_31_60_61_90_90_plus}</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{root_cause}</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{resolution_action}</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{owner}</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{due_date}</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{open_resolved_escalated}</w:t>
            </w:r>
          </w:p>
        </w:tc>
      </w:tr>
    </w:tbl>
    <w:p>
      <w:pPr>
        <w:spacing w:before="160" w:after="80"/>
        <w:pBdr>
          <w:bottom w:val="single" w:sz="6" w:space="1" w:color="D6DEE6"/>
        </w:pBdr>
      </w:pPr>
      <w:r>
        <w:rPr>
          <w:b/>
          <w:color w:val="071A2E"/>
          <w:sz w:val="28"/>
        </w:rPr>
        <w:t>6. Materiality and Impact Assessment</w:t>
      </w:r>
    </w:p>
    <w:tbl>
      <w:tblPr>
        <w:tblW w:type="auto" w:w="0"/>
        <w:jc w:val="center"/>
        <w:tblLook w:firstColumn="1" w:firstRow="1" w:lastColumn="0" w:lastRow="0" w:noHBand="0" w:noVBand="1" w:val="04A0"/>
      </w:tblPr>
      <w:tblGrid>
        <w:gridCol w:w="3096"/>
        <w:gridCol w:w="3096"/>
        <w:gridCol w:w="3096"/>
        <w:gridCol w:w="3096"/>
        <w:gridCol w:w="3096"/>
      </w:tblGrid>
      <w:tr>
        <w:trPr>
          <w:tblHeader w:val="true"/>
        </w:trPr>
        <w:tc>
          <w:tcPr>
            <w:tcW w:type="dxa" w:w="3096"/>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Impact area</w:t>
            </w:r>
          </w:p>
        </w:tc>
        <w:tc>
          <w:tcPr>
            <w:tcW w:type="dxa" w:w="3096"/>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Assessment result</w:t>
            </w:r>
          </w:p>
        </w:tc>
        <w:tc>
          <w:tcPr>
            <w:tcW w:type="dxa" w:w="3096"/>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Amount / exposure</w:t>
            </w:r>
          </w:p>
        </w:tc>
        <w:tc>
          <w:tcPr>
            <w:tcW w:type="dxa" w:w="3096"/>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Report effect</w:t>
            </w:r>
          </w:p>
        </w:tc>
        <w:tc>
          <w:tcPr>
            <w:tcW w:type="dxa" w:w="3096"/>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Required action</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NAV impact</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{no_impact_potential_impact_confirmed_impact}</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{amount}</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{nav_statement_effect}</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{action_required}</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Client statement impact</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{no_impact_potential_impact_confirmed_impact}</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{amount}</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{statement_effect}</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{action_required}</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Regulatory / SECZIM support impact</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{no_impact_potential_impact_confirmed_impact}</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{amount}</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{regulatory_effect}</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{action_required}</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Audit / financial reporting impact</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{no_impact_potential_impact_confirmed_impact}</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{amount}</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{audit_effect}</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{action_required}</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Mandate compliance impact</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{no_impact_potential_impact_confirmed_impact}</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{amount}</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{mandate_effect}</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{action_required}</w:t>
            </w:r>
          </w:p>
        </w:tc>
      </w:tr>
    </w:tbl>
    <w:p>
      <w:pPr>
        <w:spacing w:before="160" w:after="80"/>
        <w:pBdr>
          <w:bottom w:val="single" w:sz="6" w:space="1" w:color="D6DEE6"/>
        </w:pBdr>
      </w:pPr>
      <w:r>
        <w:rPr>
          <w:b/>
          <w:color w:val="071A2E"/>
          <w:sz w:val="28"/>
        </w:rPr>
        <w:t>7. Ageing Analysis</w:t>
      </w:r>
    </w:p>
    <w:tbl>
      <w:tblPr>
        <w:tblW w:type="auto" w:w="0"/>
        <w:jc w:val="center"/>
        <w:tblLook w:firstColumn="1" w:firstRow="1" w:lastColumn="0" w:lastRow="0" w:noHBand="0" w:noVBand="1" w:val="04A0"/>
      </w:tblPr>
      <w:tblGrid>
        <w:gridCol w:w="2580"/>
        <w:gridCol w:w="2580"/>
        <w:gridCol w:w="2580"/>
        <w:gridCol w:w="2580"/>
        <w:gridCol w:w="2580"/>
        <w:gridCol w:w="2580"/>
      </w:tblGrid>
      <w:tr>
        <w:trPr>
          <w:tblHeader w:val="true"/>
        </w:trPr>
        <w:tc>
          <w:tcPr>
            <w:tcW w:type="dxa" w:w="2580"/>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4"/>
              </w:rPr>
              <w:t>Ageing bucket</w:t>
            </w:r>
          </w:p>
        </w:tc>
        <w:tc>
          <w:tcPr>
            <w:tcW w:type="dxa" w:w="2580"/>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4"/>
              </w:rPr>
              <w:t>Number of exceptions</w:t>
            </w:r>
          </w:p>
        </w:tc>
        <w:tc>
          <w:tcPr>
            <w:tcW w:type="dxa" w:w="2580"/>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4"/>
              </w:rPr>
              <w:t>Gross difference</w:t>
            </w:r>
          </w:p>
        </w:tc>
        <w:tc>
          <w:tcPr>
            <w:tcW w:type="dxa" w:w="2580"/>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4"/>
              </w:rPr>
              <w:t>Net NAV impact</w:t>
            </w:r>
          </w:p>
        </w:tc>
        <w:tc>
          <w:tcPr>
            <w:tcW w:type="dxa" w:w="2580"/>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4"/>
              </w:rPr>
              <w:t>Material exceptions</w:t>
            </w:r>
          </w:p>
        </w:tc>
        <w:tc>
          <w:tcPr>
            <w:tcW w:type="dxa" w:w="2580"/>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4"/>
              </w:rPr>
              <w:t>Management action</w:t>
            </w:r>
          </w:p>
        </w:tc>
      </w:tr>
      <w:tr>
        <w:trPr>
          <w:cantSplit/>
        </w:trPr>
        <w:tc>
          <w:tcPr>
            <w:tcW w:type="dxa" w:w="2580"/>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rPr>
              <w:t>0-30 days</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{count}</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{gross_difference}</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{nav_impact}</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{material_count}</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{management_action}</w:t>
            </w:r>
          </w:p>
        </w:tc>
      </w:tr>
      <w:tr>
        <w:trPr>
          <w:cantSplit/>
        </w:trPr>
        <w:tc>
          <w:tcPr>
            <w:tcW w:type="dxa" w:w="2580"/>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rPr>
              <w:t>31-60 days</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{count}</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{gross_difference}</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{nav_impact}</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{material_count}</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{management_action}</w:t>
            </w:r>
          </w:p>
        </w:tc>
      </w:tr>
      <w:tr>
        <w:trPr>
          <w:cantSplit/>
        </w:trPr>
        <w:tc>
          <w:tcPr>
            <w:tcW w:type="dxa" w:w="2580"/>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rPr>
              <w:t>61-90 days</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{count}</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{gross_difference}</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{nav_impact}</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{material_count}</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{management_action}</w:t>
            </w:r>
          </w:p>
        </w:tc>
      </w:tr>
      <w:tr>
        <w:trPr>
          <w:cantSplit/>
        </w:trPr>
        <w:tc>
          <w:tcPr>
            <w:tcW w:type="dxa" w:w="2580"/>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rPr>
              <w:t>More than 90 days</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{count}</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{gross_difference}</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{nav_impact}</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{material_count}</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{management_action}</w:t>
            </w:r>
          </w:p>
        </w:tc>
      </w:tr>
      <w:tr>
        <w:trPr>
          <w:cantSplit/>
        </w:trPr>
        <w:tc>
          <w:tcPr>
            <w:tcW w:type="dxa" w:w="2580"/>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rPr>
              <w:t>Total</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{total_count}</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{total_gross_difference}</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{total_nav_impact}</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{total_material_count}</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{overall_action}</w:t>
            </w:r>
          </w:p>
        </w:tc>
      </w:tr>
    </w:tbl>
    <w:p>
      <w:pPr>
        <w:spacing w:before="160" w:after="80"/>
        <w:pBdr>
          <w:bottom w:val="single" w:sz="6" w:space="1" w:color="D6DEE6"/>
        </w:pBdr>
      </w:pPr>
      <w:r>
        <w:rPr>
          <w:b/>
          <w:color w:val="071A2E"/>
          <w:sz w:val="28"/>
        </w:rPr>
        <w:t>8. Root Cause Analysis</w:t>
      </w:r>
    </w:p>
    <w:tbl>
      <w:tblPr>
        <w:tblW w:type="auto" w:w="0"/>
        <w:jc w:val="center"/>
        <w:tblLook w:firstColumn="1" w:firstRow="1" w:lastColumn="0" w:lastRow="0" w:noHBand="0" w:noVBand="1" w:val="04A0"/>
      </w:tblPr>
      <w:tblGrid>
        <w:gridCol w:w="3096"/>
        <w:gridCol w:w="3096"/>
        <w:gridCol w:w="3096"/>
        <w:gridCol w:w="3096"/>
        <w:gridCol w:w="3096"/>
      </w:tblGrid>
      <w:tr>
        <w:trPr>
          <w:tblHeader w:val="true"/>
        </w:trPr>
        <w:tc>
          <w:tcPr>
            <w:tcW w:type="dxa" w:w="3096"/>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Root cause</w:t>
            </w:r>
          </w:p>
        </w:tc>
        <w:tc>
          <w:tcPr>
            <w:tcW w:type="dxa" w:w="3096"/>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Typical examples</w:t>
            </w:r>
          </w:p>
        </w:tc>
        <w:tc>
          <w:tcPr>
            <w:tcW w:type="dxa" w:w="3096"/>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Number of exceptions</w:t>
            </w:r>
          </w:p>
        </w:tc>
        <w:tc>
          <w:tcPr>
            <w:tcW w:type="dxa" w:w="3096"/>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Control weakness noted</w:t>
            </w:r>
          </w:p>
        </w:tc>
        <w:tc>
          <w:tcPr>
            <w:tcW w:type="dxa" w:w="3096"/>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Preventative action</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Timing difference</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{settlement_cutoff_bank_posting_custodian_update}</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{count}</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{yes_no}</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{preventative_action}</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Missing source document</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{missing_contract_note_custodian_file_bank_statement}</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{count}</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{yes_no}</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{preventative_action}</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Incorrect security master data</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{isin_ticker_coupon_maturity_currency_error}</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{count}</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{yes_no}</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{preventative_action}</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Manual override / data capture error</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{incorrect_price_quantity_cash_amount}</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{count}</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{yes_no}</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{preventative_action}</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Corporate action mismatch</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{split_bonus_dividend_rights_issue}</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{count}</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{yes_no}</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{preventative_action}</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External party error</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{broker_custodian_bank_error}</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{count}</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{yes_no}</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{preventative_action}</w:t>
            </w:r>
          </w:p>
        </w:tc>
      </w:tr>
    </w:tbl>
    <w:p>
      <w:pPr>
        <w:spacing w:before="160" w:after="80"/>
        <w:pBdr>
          <w:bottom w:val="single" w:sz="6" w:space="1" w:color="D6DEE6"/>
        </w:pBdr>
      </w:pPr>
      <w:r>
        <w:rPr>
          <w:b/>
          <w:color w:val="071A2E"/>
          <w:sz w:val="28"/>
        </w:rPr>
        <w:t>9. Resolution Action Tracker</w:t>
      </w:r>
    </w:p>
    <w:tbl>
      <w:tblPr>
        <w:tblW w:type="auto" w:w="0"/>
        <w:jc w:val="center"/>
        <w:tblLook w:firstColumn="1" w:firstRow="1" w:lastColumn="0" w:lastRow="0" w:noHBand="0" w:noVBand="1" w:val="04A0"/>
      </w:tblPr>
      <w:tblGrid>
        <w:gridCol w:w="2211"/>
        <w:gridCol w:w="2211"/>
        <w:gridCol w:w="2211"/>
        <w:gridCol w:w="2211"/>
        <w:gridCol w:w="2211"/>
        <w:gridCol w:w="2211"/>
        <w:gridCol w:w="2211"/>
      </w:tblGrid>
      <w:tr>
        <w:trPr>
          <w:tblHeader w:val="true"/>
        </w:trPr>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Action ID</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Related exception ID</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Action required</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Responsible owner</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Target date</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Evidence required</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Current status</w:t>
            </w:r>
          </w:p>
        </w:tc>
      </w:tr>
      <w:tr>
        <w:trPr>
          <w:cantSplit/>
        </w:trPr>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highlight w:val="yellow"/>
              </w:rPr>
              <w:t>{action_id_001}</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{exception_id}</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{resolution_action}</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{owner}</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{target_date}</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{evidence_required}</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{not_started_in_progress_done_overdue}</w:t>
            </w:r>
          </w:p>
        </w:tc>
      </w:tr>
      <w:tr>
        <w:trPr>
          <w:cantSplit/>
        </w:trPr>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highlight w:val="yellow"/>
              </w:rPr>
              <w:t>{action_id_002}</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{exception_id}</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{resolution_action}</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{owner}</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{target_date}</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{evidence_required}</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{not_started_in_progress_done_overdue}</w:t>
            </w:r>
          </w:p>
        </w:tc>
      </w:tr>
      <w:tr>
        <w:trPr>
          <w:cantSplit/>
        </w:trPr>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highlight w:val="yellow"/>
              </w:rPr>
              <w:t>{action_id_003}</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{exception_id}</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{resolution_action}</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{owner}</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{target_date}</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{evidence_required}</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{not_started_in_progress_done_overdue}</w:t>
            </w:r>
          </w:p>
        </w:tc>
      </w:tr>
    </w:tbl>
    <w:p>
      <w:r>
        <w:br w:type="page"/>
      </w:r>
    </w:p>
    <w:p>
      <w:pPr>
        <w:spacing w:before="160" w:after="80"/>
        <w:pBdr>
          <w:bottom w:val="single" w:sz="6" w:space="1" w:color="D6DEE6"/>
        </w:pBdr>
      </w:pPr>
      <w:r>
        <w:rPr>
          <w:b/>
          <w:color w:val="071A2E"/>
          <w:sz w:val="28"/>
        </w:rPr>
        <w:t>10. Unresolved Exceptions Requiring Escalation</w:t>
      </w:r>
    </w:p>
    <w:tbl>
      <w:tblPr>
        <w:tblW w:type="auto" w:w="0"/>
        <w:jc w:val="center"/>
        <w:tblLook w:firstColumn="1" w:firstRow="1" w:lastColumn="0" w:lastRow="0" w:noHBand="0" w:noVBand="1" w:val="04A0"/>
      </w:tblPr>
      <w:tblGrid>
        <w:gridCol w:w="15478"/>
      </w:tblGrid>
      <w:tr>
        <w:tc>
          <w:tcPr>
            <w:tcW w:type="dxa" w:w="15478"/>
            <w:shd w:fill="D9EAF7"/>
            <w:tcBorders>
              <w:top w:sz="10" w:val="single" w:color="8FB9DD"/>
              <w:left w:sz="10" w:val="single" w:color="8FB9DD"/>
              <w:bottom w:sz="10" w:val="single" w:color="8FB9DD"/>
              <w:right w:sz="10" w:val="single" w:color="8FB9DD"/>
            </w:tcBorders>
            <w:tcMar>
              <w:top w:w="120" w:type="dxa"/>
              <w:start w:w="140" w:type="dxa"/>
              <w:bottom w:w="120" w:type="dxa"/>
              <w:end w:w="140" w:type="dxa"/>
            </w:tcMar>
          </w:tcPr>
          <w:p>
            <w:pPr>
              <w:spacing w:after="0" w:line="240" w:lineRule="auto"/>
            </w:pPr>
            <w:r>
              <w:rPr>
                <w:b/>
                <w:i w:val="0"/>
                <w:color w:val="071A2E"/>
                <w:sz w:val="17"/>
              </w:rPr>
              <w:t>INSTRUCTION - ESCALATION</w:t>
            </w:r>
          </w:p>
          <w:p>
            <w:pPr>
              <w:spacing w:after="0" w:line="240" w:lineRule="auto"/>
            </w:pPr>
            <w:r>
              <w:rPr>
                <w:b w:val="0"/>
                <w:i w:val="0"/>
                <w:color w:val="071A2E"/>
                <w:sz w:val="16"/>
              </w:rPr>
              <w:t>List only material, aged, recurring, regulatory, NAV-impacting or client-statement-impacting exceptions. The checker should not approve publication of impacted statements unless the exception is resolved or formally authorised with adequate disclosure.</w:t>
            </w:r>
          </w:p>
        </w:tc>
      </w:tr>
    </w:tbl>
    <w:p>
      <w:pPr>
        <w:spacing w:after="0"/>
      </w:pPr>
    </w:p>
    <w:tbl>
      <w:tblPr>
        <w:tblW w:type="auto" w:w="0"/>
        <w:jc w:val="center"/>
        <w:tblLook w:firstColumn="1" w:firstRow="1" w:lastColumn="0" w:lastRow="0" w:noHBand="0" w:noVBand="1" w:val="04A0"/>
      </w:tblPr>
      <w:tblGrid>
        <w:gridCol w:w="2211"/>
        <w:gridCol w:w="2211"/>
        <w:gridCol w:w="2211"/>
        <w:gridCol w:w="2211"/>
        <w:gridCol w:w="2211"/>
        <w:gridCol w:w="2211"/>
        <w:gridCol w:w="2211"/>
      </w:tblGrid>
      <w:tr>
        <w:trPr>
          <w:tblHeader w:val="true"/>
        </w:trPr>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Exception ID</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Reason for escalation</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Amount / exposure</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Business impact</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Escalated to</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Decision required</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Deadline</w:t>
            </w:r>
          </w:p>
        </w:tc>
      </w:tr>
      <w:tr>
        <w:trPr>
          <w:cantSplit/>
        </w:trPr>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highlight w:val="yellow"/>
              </w:rPr>
              <w:t>{exception_id}</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{aged_material_recurring_nav_impacting_client_statement_impacting}</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{amount}</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{business_impact}</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{senior_owner_committee}</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{decision_required}</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{deadline}</w:t>
            </w:r>
          </w:p>
        </w:tc>
      </w:tr>
      <w:tr>
        <w:trPr>
          <w:cantSplit/>
        </w:trPr>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highlight w:val="yellow"/>
              </w:rPr>
              <w:t>{exception_id}</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{aged_material_recurring_nav_impacting_client_statement_impacting}</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{amount}</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{business_impact}</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{senior_owner_committee}</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{decision_required}</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{deadline}</w:t>
            </w:r>
          </w:p>
        </w:tc>
      </w:tr>
      <w:tr>
        <w:trPr>
          <w:cantSplit/>
        </w:trPr>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highlight w:val="yellow"/>
              </w:rPr>
              <w:t>{exception_id}</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{aged_material_recurring_nav_impacting_client_statement_impacting}</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{amount}</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{business_impact}</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{senior_owner_committee}</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{decision_required}</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{deadline}</w:t>
            </w:r>
          </w:p>
        </w:tc>
      </w:tr>
    </w:tbl>
    <w:p>
      <w:pPr>
        <w:spacing w:before="160" w:after="80"/>
        <w:pBdr>
          <w:bottom w:val="single" w:sz="6" w:space="1" w:color="D6DEE6"/>
        </w:pBdr>
      </w:pPr>
      <w:r>
        <w:rPr>
          <w:b/>
          <w:color w:val="071A2E"/>
          <w:sz w:val="28"/>
        </w:rPr>
        <w:t>11. Reconciliation Control Confirmation</w:t>
      </w:r>
    </w:p>
    <w:tbl>
      <w:tblPr>
        <w:tblW w:type="auto" w:w="0"/>
        <w:jc w:val="center"/>
        <w:tblLook w:firstColumn="1" w:firstRow="1" w:lastColumn="0" w:lastRow="0" w:noHBand="0" w:noVBand="1" w:val="04A0"/>
      </w:tblPr>
      <w:tblGrid>
        <w:gridCol w:w="3869"/>
        <w:gridCol w:w="3869"/>
        <w:gridCol w:w="3869"/>
        <w:gridCol w:w="3869"/>
      </w:tblGrid>
      <w:tr>
        <w:trPr>
          <w:tblHeader w:val="true"/>
        </w:trPr>
        <w:tc>
          <w:tcPr>
            <w:tcW w:type="dxa" w:w="3869"/>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Control checkpoint</w:t>
            </w:r>
          </w:p>
        </w:tc>
        <w:tc>
          <w:tcPr>
            <w:tcW w:type="dxa" w:w="3869"/>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Yes / No / N/A</w:t>
            </w:r>
          </w:p>
        </w:tc>
        <w:tc>
          <w:tcPr>
            <w:tcW w:type="dxa" w:w="3869"/>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Reviewer comments</w:t>
            </w:r>
          </w:p>
        </w:tc>
        <w:tc>
          <w:tcPr>
            <w:tcW w:type="dxa" w:w="3869"/>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Evidence reference</w:t>
            </w:r>
          </w:p>
        </w:tc>
      </w:tr>
      <w:tr>
        <w:trPr>
          <w:cantSplit/>
        </w:trPr>
        <w:tc>
          <w:tcPr>
            <w:tcW w:type="dxa" w:w="3869"/>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All required internal records were extracted from approved source modules.</w:t>
            </w:r>
          </w:p>
        </w:tc>
        <w:tc>
          <w:tcPr>
            <w:tcW w:type="dxa" w:w="386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{yes_no_na}</w:t>
            </w:r>
          </w:p>
        </w:tc>
        <w:tc>
          <w:tcPr>
            <w:tcW w:type="dxa" w:w="386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{comments}</w:t>
            </w:r>
          </w:p>
        </w:tc>
        <w:tc>
          <w:tcPr>
            <w:tcW w:type="dxa" w:w="386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{evidence_ref}</w:t>
            </w:r>
          </w:p>
        </w:tc>
      </w:tr>
      <w:tr>
        <w:trPr>
          <w:cantSplit/>
        </w:trPr>
        <w:tc>
          <w:tcPr>
            <w:tcW w:type="dxa" w:w="3869"/>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Broker, custodian and bank source files were complete for the reporting period.</w:t>
            </w:r>
          </w:p>
        </w:tc>
        <w:tc>
          <w:tcPr>
            <w:tcW w:type="dxa" w:w="3869"/>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{yes_no_na}</w:t>
            </w:r>
          </w:p>
        </w:tc>
        <w:tc>
          <w:tcPr>
            <w:tcW w:type="dxa" w:w="3869"/>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{comments}</w:t>
            </w:r>
          </w:p>
        </w:tc>
        <w:tc>
          <w:tcPr>
            <w:tcW w:type="dxa" w:w="3869"/>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{evidence_ref}</w:t>
            </w:r>
          </w:p>
        </w:tc>
      </w:tr>
      <w:tr>
        <w:trPr>
          <w:cantSplit/>
        </w:trPr>
        <w:tc>
          <w:tcPr>
            <w:tcW w:type="dxa" w:w="3869"/>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Reconciliation tolerances were applied consistently.</w:t>
            </w:r>
          </w:p>
        </w:tc>
        <w:tc>
          <w:tcPr>
            <w:tcW w:type="dxa" w:w="386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{yes_no_na}</w:t>
            </w:r>
          </w:p>
        </w:tc>
        <w:tc>
          <w:tcPr>
            <w:tcW w:type="dxa" w:w="386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{comments}</w:t>
            </w:r>
          </w:p>
        </w:tc>
        <w:tc>
          <w:tcPr>
            <w:tcW w:type="dxa" w:w="386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{evidence_ref}</w:t>
            </w:r>
          </w:p>
        </w:tc>
      </w:tr>
      <w:tr>
        <w:trPr>
          <w:cantSplit/>
        </w:trPr>
        <w:tc>
          <w:tcPr>
            <w:tcW w:type="dxa" w:w="3869"/>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All material differences were investigated and assigned to an owner.</w:t>
            </w:r>
          </w:p>
        </w:tc>
        <w:tc>
          <w:tcPr>
            <w:tcW w:type="dxa" w:w="3869"/>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{yes_no_na}</w:t>
            </w:r>
          </w:p>
        </w:tc>
        <w:tc>
          <w:tcPr>
            <w:tcW w:type="dxa" w:w="3869"/>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{comments}</w:t>
            </w:r>
          </w:p>
        </w:tc>
        <w:tc>
          <w:tcPr>
            <w:tcW w:type="dxa" w:w="3869"/>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{evidence_ref}</w:t>
            </w:r>
          </w:p>
        </w:tc>
      </w:tr>
      <w:tr>
        <w:trPr>
          <w:cantSplit/>
        </w:trPr>
        <w:tc>
          <w:tcPr>
            <w:tcW w:type="dxa" w:w="3869"/>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All NAV-impacting differences were resolved or escalated before client reporting.</w:t>
            </w:r>
          </w:p>
        </w:tc>
        <w:tc>
          <w:tcPr>
            <w:tcW w:type="dxa" w:w="386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{yes_no_na}</w:t>
            </w:r>
          </w:p>
        </w:tc>
        <w:tc>
          <w:tcPr>
            <w:tcW w:type="dxa" w:w="386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{comments}</w:t>
            </w:r>
          </w:p>
        </w:tc>
        <w:tc>
          <w:tcPr>
            <w:tcW w:type="dxa" w:w="386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{evidence_ref}</w:t>
            </w:r>
          </w:p>
        </w:tc>
      </w:tr>
      <w:tr>
        <w:trPr>
          <w:cantSplit/>
        </w:trPr>
        <w:tc>
          <w:tcPr>
            <w:tcW w:type="dxa" w:w="3869"/>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All adjustments were processed through the relevant source module, not edited directly in this report.</w:t>
            </w:r>
          </w:p>
        </w:tc>
        <w:tc>
          <w:tcPr>
            <w:tcW w:type="dxa" w:w="3869"/>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{yes_no_na}</w:t>
            </w:r>
          </w:p>
        </w:tc>
        <w:tc>
          <w:tcPr>
            <w:tcW w:type="dxa" w:w="3869"/>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{comments}</w:t>
            </w:r>
          </w:p>
        </w:tc>
        <w:tc>
          <w:tcPr>
            <w:tcW w:type="dxa" w:w="3869"/>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{evidence_ref}</w:t>
            </w:r>
          </w:p>
        </w:tc>
      </w:tr>
      <w:tr>
        <w:trPr>
          <w:cantSplit/>
        </w:trPr>
        <w:tc>
          <w:tcPr>
            <w:tcW w:type="dxa" w:w="3869"/>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The maker and checker are different authorised users.</w:t>
            </w:r>
          </w:p>
        </w:tc>
        <w:tc>
          <w:tcPr>
            <w:tcW w:type="dxa" w:w="386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{yes_no_na}</w:t>
            </w:r>
          </w:p>
        </w:tc>
        <w:tc>
          <w:tcPr>
            <w:tcW w:type="dxa" w:w="386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{comments}</w:t>
            </w:r>
          </w:p>
        </w:tc>
        <w:tc>
          <w:tcPr>
            <w:tcW w:type="dxa" w:w="386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{evidence_ref}</w:t>
            </w:r>
          </w:p>
        </w:tc>
      </w:tr>
    </w:tbl>
    <w:p>
      <w:r>
        <w:br w:type="page"/>
      </w:r>
    </w:p>
    <w:p>
      <w:pPr>
        <w:spacing w:before="160" w:after="80"/>
        <w:pBdr>
          <w:bottom w:val="single" w:sz="6" w:space="1" w:color="D6DEE6"/>
        </w:pBdr>
      </w:pPr>
      <w:r>
        <w:rPr>
          <w:b/>
          <w:color w:val="071A2E"/>
          <w:sz w:val="28"/>
        </w:rPr>
        <w:t>12. Supporting Documents Register</w:t>
      </w:r>
    </w:p>
    <w:tbl>
      <w:tblPr>
        <w:tblW w:type="auto" w:w="0"/>
        <w:jc w:val="center"/>
        <w:tblLook w:firstColumn="1" w:firstRow="1" w:lastColumn="0" w:lastRow="0" w:noHBand="0" w:noVBand="1" w:val="04A0"/>
      </w:tblPr>
      <w:tblGrid>
        <w:gridCol w:w="2211"/>
        <w:gridCol w:w="2211"/>
        <w:gridCol w:w="2211"/>
        <w:gridCol w:w="2211"/>
        <w:gridCol w:w="2211"/>
        <w:gridCol w:w="2211"/>
        <w:gridCol w:w="2211"/>
      </w:tblGrid>
      <w:tr>
        <w:trPr>
          <w:tblHeader w:val="true"/>
        </w:trPr>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Document reference</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Document type</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Source / provider</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Period covered</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Received date</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Linked exception IDs</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Stored in Arcus</w:t>
            </w:r>
          </w:p>
        </w:tc>
      </w:tr>
      <w:tr>
        <w:trPr>
          <w:cantSplit/>
        </w:trPr>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highlight w:val="yellow"/>
              </w:rPr>
              <w:t>{document_ref}</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{broker_statement_custodian_report_bank_statement_contract_note}</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{provider}</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{period}</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{received_date}</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{exception_ids}</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{yes_no}</w:t>
            </w:r>
          </w:p>
        </w:tc>
      </w:tr>
      <w:tr>
        <w:trPr>
          <w:cantSplit/>
        </w:trPr>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highlight w:val="yellow"/>
              </w:rPr>
              <w:t>{document_ref}</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{broker_statement_custodian_report_bank_statement_contract_note}</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{provider}</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{period}</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{received_date}</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{exception_ids}</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{yes_no}</w:t>
            </w:r>
          </w:p>
        </w:tc>
      </w:tr>
      <w:tr>
        <w:trPr>
          <w:cantSplit/>
        </w:trPr>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highlight w:val="yellow"/>
              </w:rPr>
              <w:t>{document_ref}</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{broker_statement_custodian_report_bank_statement_contract_note}</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{provider}</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{period}</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{received_date}</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{exception_ids}</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{yes_no}</w:t>
            </w:r>
          </w:p>
        </w:tc>
      </w:tr>
    </w:tbl>
    <w:p>
      <w:r>
        <w:br w:type="page"/>
      </w:r>
    </w:p>
    <w:p>
      <w:pPr>
        <w:spacing w:before="160" w:after="80"/>
        <w:pBdr>
          <w:bottom w:val="single" w:sz="6" w:space="1" w:color="D6DEE6"/>
        </w:pBdr>
      </w:pPr>
      <w:r>
        <w:rPr>
          <w:b/>
          <w:color w:val="071A2E"/>
          <w:sz w:val="28"/>
        </w:rPr>
        <w:t>13. Management Commentary</w:t>
      </w:r>
    </w:p>
    <w:tbl>
      <w:tblPr>
        <w:tblW w:type="auto" w:w="0"/>
        <w:jc w:val="center"/>
        <w:tblLook w:firstColumn="1" w:firstRow="1" w:lastColumn="0" w:lastRow="0" w:noHBand="0" w:noVBand="1" w:val="04A0"/>
      </w:tblPr>
      <w:tblGrid>
        <w:gridCol w:w="15478"/>
      </w:tblGrid>
      <w:tr>
        <w:tc>
          <w:tcPr>
            <w:tcW w:type="dxa" w:w="15478"/>
            <w:shd w:fill="D9EAF7"/>
            <w:tcBorders>
              <w:top w:sz="10" w:val="single" w:color="8FB9DD"/>
              <w:left w:sz="10" w:val="single" w:color="8FB9DD"/>
              <w:bottom w:sz="10" w:val="single" w:color="8FB9DD"/>
              <w:right w:sz="10" w:val="single" w:color="8FB9DD"/>
            </w:tcBorders>
            <w:tcMar>
              <w:top w:w="120" w:type="dxa"/>
              <w:start w:w="140" w:type="dxa"/>
              <w:bottom w:w="120" w:type="dxa"/>
              <w:end w:w="140" w:type="dxa"/>
            </w:tcMar>
          </w:tcPr>
          <w:p>
            <w:pPr>
              <w:spacing w:after="0" w:line="240" w:lineRule="auto"/>
            </w:pPr>
            <w:r>
              <w:rPr>
                <w:b/>
                <w:i w:val="0"/>
                <w:color w:val="071A2E"/>
                <w:sz w:val="17"/>
              </w:rPr>
              <w:t>INSTRUCTION - COMMENTARY</w:t>
            </w:r>
          </w:p>
          <w:p>
            <w:pPr>
              <w:spacing w:after="0" w:line="240" w:lineRule="auto"/>
            </w:pPr>
            <w:r>
              <w:rPr>
                <w:b w:val="0"/>
                <w:i w:val="0"/>
                <w:color w:val="071A2E"/>
                <w:sz w:val="16"/>
              </w:rPr>
              <w:t>Provide concise management commentary. Avoid vague statements. Explain the cause, status and risk of unresolved material exceptions and whether any client or regulatory reporting should be delayed.</w:t>
            </w:r>
          </w:p>
        </w:tc>
      </w:tr>
    </w:tbl>
    <w:p>
      <w:pPr>
        <w:spacing w:after="0"/>
      </w:pPr>
    </w:p>
    <w:tbl>
      <w:tblPr>
        <w:tblW w:type="auto" w:w="0"/>
        <w:tblLook w:firstColumn="1" w:firstRow="1" w:lastColumn="0" w:lastRow="0" w:noHBand="0" w:noVBand="1" w:val="04A0"/>
      </w:tblPr>
      <w:tblGrid>
        <w:gridCol w:w="15478"/>
      </w:tblGrid>
      <w:tr>
        <w:tc>
          <w:tcPr>
            <w:tcW w:type="dxa" w:w="15478"/>
            <w:shd w:fill="FFF2CC"/>
            <w:tcBorders>
              <w:top w:sz="8" w:val="single" w:color="D6B656"/>
              <w:left w:sz="8" w:val="single" w:color="D6B656"/>
              <w:bottom w:sz="8" w:val="single" w:color="D6B656"/>
              <w:right w:sz="8" w:val="single" w:color="D6B656"/>
            </w:tcBorders>
          </w:tcPr>
          <w:p>
            <w:pPr>
              <w:spacing w:after="0" w:line="240" w:lineRule="auto"/>
            </w:pPr>
            <w:r>
              <w:rPr>
                <w:b/>
                <w:i w:val="0"/>
                <w:color w:val="000000"/>
                <w:sz w:val="16"/>
              </w:rPr>
              <w:t xml:space="preserve">Management commentary: </w:t>
            </w:r>
            <w:r>
              <w:rPr>
                <w:b w:val="0"/>
                <w:i w:val="0"/>
                <w:color w:val="000000"/>
                <w:sz w:val="16"/>
                <w:highlight w:val="yellow"/>
              </w:rPr>
              <w:t xml:space="preserve">{insert_management_commentary_on_key_exceptions_resolution_progress_recurrence_and_controls} {insert_management_commentary_on_key_exceptions_resolution_progress_recurrence_and_controls} </w:t>
            </w:r>
          </w:p>
        </w:tc>
      </w:tr>
    </w:tbl>
    <w:p>
      <w:pPr>
        <w:spacing w:after="0"/>
      </w:pPr>
    </w:p>
    <w:p>
      <w:pPr>
        <w:spacing w:before="160" w:after="80"/>
        <w:pBdr>
          <w:bottom w:val="single" w:sz="6" w:space="1" w:color="D6DEE6"/>
        </w:pBdr>
      </w:pPr>
      <w:r>
        <w:rPr>
          <w:b/>
          <w:color w:val="071A2E"/>
          <w:sz w:val="28"/>
        </w:rPr>
        <w:t>14. Preparation, Review and Approval</w:t>
      </w:r>
    </w:p>
    <w:p>
      <w:pPr>
        <w:spacing w:after="80" w:line="252" w:lineRule="auto"/>
      </w:pPr>
      <w:r>
        <w:rPr>
          <w:b w:val="0"/>
          <w:i w:val="0"/>
          <w:color w:val="000000"/>
          <w:sz w:val="17"/>
        </w:rPr>
        <w:t>The maker confirms that this report was prepared from approved reconciliation data and that exceptions have not been amended directly in the report outside the controlled source records. The checker confirms that the report has been reviewed, that material unresolved exceptions have been identified, and that any required escalation has been recorded.</w:t>
      </w:r>
    </w:p>
    <w:tbl>
      <w:tblPr>
        <w:tblW w:type="auto" w:w="0"/>
        <w:jc w:val="center"/>
        <w:tblLook w:firstColumn="1" w:firstRow="1" w:lastColumn="0" w:lastRow="0" w:noHBand="0" w:noVBand="1" w:val="04A0"/>
      </w:tblPr>
      <w:tblGrid>
        <w:gridCol w:w="3096"/>
        <w:gridCol w:w="3096"/>
        <w:gridCol w:w="3096"/>
        <w:gridCol w:w="3096"/>
        <w:gridCol w:w="3096"/>
      </w:tblGrid>
      <w:tr>
        <w:trPr>
          <w:tblHeader w:val="true"/>
        </w:trPr>
        <w:tc>
          <w:tcPr>
            <w:tcW w:type="dxa" w:w="3096"/>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4"/>
              </w:rPr>
              <w:t>Role</w:t>
            </w:r>
          </w:p>
        </w:tc>
        <w:tc>
          <w:tcPr>
            <w:tcW w:type="dxa" w:w="3096"/>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4"/>
              </w:rPr>
              <w:t>Name</w:t>
            </w:r>
          </w:p>
        </w:tc>
        <w:tc>
          <w:tcPr>
            <w:tcW w:type="dxa" w:w="3096"/>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4"/>
              </w:rPr>
              <w:t>Designation</w:t>
            </w:r>
          </w:p>
        </w:tc>
        <w:tc>
          <w:tcPr>
            <w:tcW w:type="dxa" w:w="3096"/>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4"/>
              </w:rPr>
              <w:t>Date</w:t>
            </w:r>
          </w:p>
        </w:tc>
        <w:tc>
          <w:tcPr>
            <w:tcW w:type="dxa" w:w="3096"/>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4"/>
              </w:rPr>
              <w:t>Signature / digital approval</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rPr>
              <w:t>Prepared by - Maker</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{maker_name}</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{maker_designation}</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{maker_date}</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{maker_signature_or_digital_approval}</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rPr>
              <w:t>Reviewed by - Operations Checker</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{operations_checker_name}</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{operations_checker_designation}</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{checker_date}</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{checker_signature_or_digital_approval}</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rPr>
              <w:t>Reviewed by - Compliance, if applicable</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{compliance_reviewer_name}</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{compliance_designation}</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{compliance_date}</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{compliance_signature_or_digital_approval}</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rPr>
              <w:t>Approved by - Authorised Officer</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{authorised_officer_name}</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{authorised_officer_designation}</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{approval_date}</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{authorised_signature_or_digital_approval}</w:t>
            </w:r>
          </w:p>
        </w:tc>
      </w:tr>
    </w:tbl>
    <w:p>
      <w:pPr>
        <w:spacing w:before="160" w:after="80"/>
        <w:pBdr>
          <w:bottom w:val="single" w:sz="6" w:space="1" w:color="D6DEE6"/>
        </w:pBdr>
      </w:pPr>
      <w:r>
        <w:rPr>
          <w:b/>
          <w:color w:val="071A2E"/>
          <w:sz w:val="28"/>
        </w:rPr>
        <w:t>15. Arcus Audit and Version Control</w:t>
      </w:r>
    </w:p>
    <w:tbl>
      <w:tblPr>
        <w:tblW w:type="auto" w:w="0"/>
        <w:jc w:val="center"/>
        <w:tblLook w:firstColumn="1" w:firstRow="1" w:lastColumn="0" w:lastRow="0" w:noHBand="0" w:noVBand="1" w:val="04A0"/>
      </w:tblPr>
      <w:tblGrid>
        <w:gridCol w:w="7739"/>
        <w:gridCol w:w="7739"/>
      </w:tblGrid>
      <w:tr>
        <w:trPr>
          <w:tblHeader w:val="true"/>
        </w:trPr>
        <w:tc>
          <w:tcPr>
            <w:tcW w:type="dxa" w:w="3969"/>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FFFFFF"/>
                <w:sz w:val="14"/>
              </w:rPr>
              <w:t>Field</w:t>
            </w:r>
          </w:p>
        </w:tc>
        <w:tc>
          <w:tcPr>
            <w:tcW w:type="dxa" w:w="10205"/>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FFFFFF"/>
                <w:sz w:val="14"/>
              </w:rPr>
              <w:t>Detail</w:t>
            </w:r>
          </w:p>
        </w:tc>
      </w:tr>
      <w:tr>
        <w:tc>
          <w:tcPr>
            <w:tcW w:type="dxa" w:w="3969"/>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4"/>
              </w:rPr>
              <w:t>Reporting run ID</w:t>
            </w:r>
          </w:p>
        </w:tc>
        <w:tc>
          <w:tcPr>
            <w:tcW w:type="dxa" w:w="10205"/>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highlight w:val="yellow"/>
              </w:rPr>
              <w:t>{reporting_run_id}</w:t>
            </w:r>
          </w:p>
        </w:tc>
      </w:tr>
      <w:tr>
        <w:tc>
          <w:tcPr>
            <w:tcW w:type="dxa" w:w="3969"/>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4"/>
              </w:rPr>
              <w:t>Generated report ID</w:t>
            </w:r>
          </w:p>
        </w:tc>
        <w:tc>
          <w:tcPr>
            <w:tcW w:type="dxa" w:w="10205"/>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highlight w:val="yellow"/>
              </w:rPr>
              <w:t>{generated_report_id}</w:t>
            </w:r>
          </w:p>
        </w:tc>
      </w:tr>
      <w:tr>
        <w:tc>
          <w:tcPr>
            <w:tcW w:type="dxa" w:w="3969"/>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4"/>
              </w:rPr>
              <w:t>Source data snapshot ID</w:t>
            </w:r>
          </w:p>
        </w:tc>
        <w:tc>
          <w:tcPr>
            <w:tcW w:type="dxa" w:w="10205"/>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highlight w:val="yellow"/>
              </w:rPr>
              <w:t>{source_data_snapshot_id}</w:t>
            </w:r>
          </w:p>
        </w:tc>
      </w:tr>
      <w:tr>
        <w:tc>
          <w:tcPr>
            <w:tcW w:type="dxa" w:w="3969"/>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4"/>
              </w:rPr>
              <w:t>Internal reconciliation extract ID</w:t>
            </w:r>
          </w:p>
        </w:tc>
        <w:tc>
          <w:tcPr>
            <w:tcW w:type="dxa" w:w="10205"/>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highlight w:val="yellow"/>
              </w:rPr>
              <w:t>{internal_extract_id}</w:t>
            </w:r>
          </w:p>
        </w:tc>
      </w:tr>
      <w:tr>
        <w:tc>
          <w:tcPr>
            <w:tcW w:type="dxa" w:w="3969"/>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4"/>
              </w:rPr>
              <w:t>External evidence bundle ID</w:t>
            </w:r>
          </w:p>
        </w:tc>
        <w:tc>
          <w:tcPr>
            <w:tcW w:type="dxa" w:w="10205"/>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highlight w:val="yellow"/>
              </w:rPr>
              <w:t>{external_evidence_bundle_id}</w:t>
            </w:r>
          </w:p>
        </w:tc>
      </w:tr>
      <w:tr>
        <w:tc>
          <w:tcPr>
            <w:tcW w:type="dxa" w:w="3969"/>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4"/>
              </w:rPr>
              <w:t>Generated by</w:t>
            </w:r>
          </w:p>
        </w:tc>
        <w:tc>
          <w:tcPr>
            <w:tcW w:type="dxa" w:w="10205"/>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highlight w:val="yellow"/>
              </w:rPr>
              <w:t>{generated_by_user}</w:t>
            </w:r>
          </w:p>
        </w:tc>
      </w:tr>
      <w:tr>
        <w:tc>
          <w:tcPr>
            <w:tcW w:type="dxa" w:w="3969"/>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4"/>
              </w:rPr>
              <w:t>Generated date and time</w:t>
            </w:r>
          </w:p>
        </w:tc>
        <w:tc>
          <w:tcPr>
            <w:tcW w:type="dxa" w:w="10205"/>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highlight w:val="yellow"/>
              </w:rPr>
              <w:t>{generated_datetime}</w:t>
            </w:r>
          </w:p>
        </w:tc>
      </w:tr>
      <w:tr>
        <w:tc>
          <w:tcPr>
            <w:tcW w:type="dxa" w:w="3969"/>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4"/>
              </w:rPr>
              <w:t>Approved by</w:t>
            </w:r>
          </w:p>
        </w:tc>
        <w:tc>
          <w:tcPr>
            <w:tcW w:type="dxa" w:w="10205"/>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highlight w:val="yellow"/>
              </w:rPr>
              <w:t>{approved_by_user}</w:t>
            </w:r>
          </w:p>
        </w:tc>
      </w:tr>
      <w:tr>
        <w:tc>
          <w:tcPr>
            <w:tcW w:type="dxa" w:w="3969"/>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4"/>
              </w:rPr>
              <w:t>Approval date and time</w:t>
            </w:r>
          </w:p>
        </w:tc>
        <w:tc>
          <w:tcPr>
            <w:tcW w:type="dxa" w:w="10205"/>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highlight w:val="yellow"/>
              </w:rPr>
              <w:t>{approval_datetime}</w:t>
            </w:r>
          </w:p>
        </w:tc>
      </w:tr>
      <w:tr>
        <w:tc>
          <w:tcPr>
            <w:tcW w:type="dxa" w:w="3969"/>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4"/>
              </w:rPr>
              <w:t>Document version</w:t>
            </w:r>
          </w:p>
        </w:tc>
        <w:tc>
          <w:tcPr>
            <w:tcW w:type="dxa" w:w="10205"/>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highlight w:val="yellow"/>
              </w:rPr>
              <w:t>{version_number}</w:t>
            </w:r>
          </w:p>
        </w:tc>
      </w:tr>
      <w:tr>
        <w:tc>
          <w:tcPr>
            <w:tcW w:type="dxa" w:w="3969"/>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4"/>
              </w:rPr>
              <w:t>Reissue reference, if any</w:t>
            </w:r>
          </w:p>
        </w:tc>
        <w:tc>
          <w:tcPr>
            <w:tcW w:type="dxa" w:w="10205"/>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highlight w:val="yellow"/>
              </w:rPr>
              <w:t>{reissue_reference}</w:t>
            </w:r>
          </w:p>
        </w:tc>
      </w:tr>
      <w:tr>
        <w:tc>
          <w:tcPr>
            <w:tcW w:type="dxa" w:w="3969"/>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4"/>
              </w:rPr>
              <w:t>Document hash / checksum</w:t>
            </w:r>
          </w:p>
        </w:tc>
        <w:tc>
          <w:tcPr>
            <w:tcW w:type="dxa" w:w="10205"/>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highlight w:val="yellow"/>
              </w:rPr>
              <w:t>{document_hash_checksum}</w:t>
            </w:r>
          </w:p>
        </w:tc>
      </w:tr>
      <w:tr>
        <w:tc>
          <w:tcPr>
            <w:tcW w:type="dxa" w:w="3969"/>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4"/>
              </w:rPr>
              <w:t>Archive status</w:t>
            </w:r>
          </w:p>
        </w:tc>
        <w:tc>
          <w:tcPr>
            <w:tcW w:type="dxa" w:w="10205"/>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highlight w:val="yellow"/>
              </w:rPr>
              <w:t>{draft_locked_archived}</w:t>
            </w:r>
          </w:p>
        </w:tc>
      </w:tr>
    </w:tbl>
    <w:p>
      <w:pPr>
        <w:spacing w:before="100" w:after="80"/>
      </w:pPr>
      <w:r>
        <w:rPr>
          <w:b/>
          <w:color w:val="168AE8"/>
          <w:sz w:val="21"/>
        </w:rPr>
        <w:t>Footer Wording</w:t>
      </w:r>
    </w:p>
    <w:p>
      <w:pPr>
        <w:spacing w:after="80" w:line="252" w:lineRule="auto"/>
      </w:pPr>
      <w:r>
        <w:rPr>
          <w:b w:val="0"/>
          <w:i w:val="0"/>
          <w:color w:val="000000"/>
          <w:sz w:val="15"/>
        </w:rPr>
        <w:t>Confidential Reconciliation Exception Report | {asset_manager_name} | {reporting_period} | {document_hash_checksum} | Page {page_number} of {total_pages}</w:t>
      </w:r>
    </w:p>
    <w:sectPr w:rsidR="00FC693F" w:rsidRPr="0006063C" w:rsidSect="00034616">
      <w:headerReference w:type="default" r:id="rId9"/>
      <w:footerReference w:type="default" r:id="rId10"/>
      <w:pgSz w:w="16838" w:h="11906" w:orient="landscape"/>
      <w:pgMar w:top="709" w:right="680" w:bottom="652"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b w:val="0"/>
        <w:i w:val="0"/>
        <w:color w:val="5B6773"/>
        <w:sz w:val="14"/>
      </w:rPr>
      <w:t xml:space="preserve">Confidential | Reconciliation Exception Report | Generated from Arcus approved source data | Page </w:t>
    </w:r>
    <w:r>
      <w:fldChar w:fldCharType="begin"/>
      <w:instrText xml:space="preserve">PAGE</w:instrText>
      <w:fldChar w:fldCharType="end"/>
    </w:r>
    <w:r>
      <w:rPr>
        <w:b w:val="0"/>
        <w:i w:val="0"/>
        <w:color w:val="5B6773"/>
        <w:sz w:val="14"/>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59"/>
      <w:gridCol w:w="5159"/>
      <w:gridCol w:w="5159"/>
    </w:tblGrid>
    <w:tr>
      <w:tc>
        <w:tcPr>
          <w:tcW w:type="dxa" w:w="3402"/>
          <w:shd w:fill="071A2E"/>
          <w:tcBorders>
            <w:top w:val="nil"/>
            <w:left w:val="nil"/>
            <w:bottom w:val="nil"/>
            <w:right w:val="nil"/>
          </w:tcBorders>
          <w:tcMar>
            <w:top w:w="80" w:type="dxa"/>
            <w:start w:w="80" w:type="dxa"/>
            <w:bottom w:w="80" w:type="dxa"/>
            <w:end w:w="80" w:type="dxa"/>
          </w:tcMar>
          <w:vAlign w:val="center"/>
        </w:tcPr>
        <w:p>
          <w:r/>
          <w:r>
            <w:rPr>
              <w:b/>
              <w:color w:val="FFFFFF"/>
              <w:sz w:val="16"/>
            </w:rPr>
            <w:t>■  ARCUS REPORTING</w:t>
          </w:r>
        </w:p>
      </w:tc>
      <w:tc>
        <w:tcPr>
          <w:tcW w:type="dxa" w:w="6236"/>
          <w:shd w:fill="071A2E"/>
          <w:tcBorders>
            <w:top w:val="nil"/>
            <w:left w:val="nil"/>
            <w:bottom w:val="nil"/>
            <w:right w:val="nil"/>
          </w:tcBorders>
          <w:tcMar>
            <w:top w:w="80" w:type="dxa"/>
            <w:start w:w="80" w:type="dxa"/>
            <w:bottom w:w="80" w:type="dxa"/>
            <w:end w:w="80" w:type="dxa"/>
          </w:tcMar>
          <w:vAlign w:val="center"/>
        </w:tcPr>
        <w:p>
          <w:pPr>
            <w:jc w:val="center"/>
          </w:pPr>
          <w:r/>
          <w:r>
            <w:rPr>
              <w:b w:val="0"/>
              <w:color w:val="D9EAF7"/>
              <w:sz w:val="15"/>
            </w:rPr>
            <w:t>Quarterly Reporting | Investor Statements | Regulatory Packs</w:t>
          </w:r>
        </w:p>
      </w:tc>
      <w:tc>
        <w:tcPr>
          <w:tcW w:type="dxa" w:w="3402"/>
          <w:shd w:fill="071A2E"/>
          <w:tcBorders>
            <w:top w:val="nil"/>
            <w:left w:val="nil"/>
            <w:bottom w:val="nil"/>
            <w:right w:val="nil"/>
          </w:tcBorders>
          <w:tcMar>
            <w:top w:w="80" w:type="dxa"/>
            <w:start w:w="80" w:type="dxa"/>
            <w:bottom w:w="80" w:type="dxa"/>
            <w:end w:w="80" w:type="dxa"/>
          </w:tcMar>
          <w:vAlign w:val="center"/>
        </w:tcPr>
        <w:p>
          <w:pPr>
            <w:jc w:val="right"/>
          </w:pPr>
          <w:r/>
          <w:r>
            <w:rPr>
              <w:b/>
              <w:color w:val="FFFFFF"/>
              <w:sz w:val="14"/>
            </w:rPr>
            <w:t>RECONCILIATION EXCEPTION REPORT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000000"/>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Arcus Reconciliation Exception Report Template</dc:title>
  <dc:subject>Quarterly Reporting, Investor Statements and Regulatory Pack Module</dc:subject>
  <dc:creator>OpenAI</dc:creator>
  <cp:keywords>Arcus, reconciliation, exception report, asset manager, template</cp:keywords>
  <dc:description>generated by python-docx</dc:description>
  <cp:lastModifiedBy/>
  <cp:revision>1</cp:revision>
  <dcterms:created xsi:type="dcterms:W3CDTF">2013-12-23T23:15:00Z</dcterms:created>
  <dcterms:modified xsi:type="dcterms:W3CDTF">2013-12-23T23:15:00Z</dcterms:modified>
  <cp:category/>
</cp:coreProperties>
</file>