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jc w:val="center"/>
      </w:pPr>
      <w:r>
        <w:rPr>
          <w:rFonts w:ascii="Arial" w:hAnsi="Arial" w:eastAsia="Arial"/>
          <w:b/>
          <w:color w:val="071525"/>
          <w:sz w:val="48"/>
        </w:rPr>
        <w:t>ARCUS</w:t>
      </w:r>
    </w:p>
    <w:p>
      <w:pPr>
        <w:spacing w:after="80"/>
        <w:jc w:val="center"/>
      </w:pPr>
      <w:r>
        <w:rPr>
          <w:rFonts w:ascii="Arial" w:hAnsi="Arial" w:eastAsia="Arial"/>
          <w:b/>
          <w:color w:val="071525"/>
          <w:sz w:val="44"/>
        </w:rPr>
        <w:t>AML/CFT/CPF RETURN PACK</w:t>
      </w:r>
    </w:p>
    <w:p>
      <w:pPr>
        <w:spacing w:after="80"/>
        <w:jc w:val="center"/>
      </w:pPr>
      <w:r>
        <w:rPr>
          <w:rFonts w:ascii="Arial" w:hAnsi="Arial" w:eastAsia="Arial"/>
          <w:color w:val="4B5563"/>
          <w:sz w:val="22"/>
        </w:rPr>
        <w:t>Anti-Money Laundering, Counter Financing of Terrorism and Counter Proliferation Financing Support Pack</w:t>
      </w:r>
    </w:p>
    <w:tbl>
      <w:tblPr>
        <w:tblW w:type="auto" w:w="0"/>
        <w:jc w:val="center"/>
        <w:tblLook w:firstColumn="1" w:firstRow="1" w:lastColumn="0" w:lastRow="0" w:noHBand="0" w:noVBand="1" w:val="04A0"/>
      </w:tblPr>
      <w:tblGrid>
        <w:gridCol w:w="10656"/>
      </w:tblGrid>
      <w:tr>
        <w:tc>
          <w:tcPr>
            <w:tcW w:type="dxa" w:w="10656"/>
            <w:shd w:fill="EAF5FF"/>
            <w:tcMar>
              <w:top w:w="150" w:type="dxa"/>
              <w:start w:w="160" w:type="dxa"/>
              <w:bottom w:w="150" w:type="dxa"/>
              <w:end w:w="160" w:type="dxa"/>
            </w:tcMar>
            <w:tcBorders>
              <w:top w:sz="8" w:val="single" w:color="B6DAFF"/>
              <w:left w:sz="8" w:val="single" w:color="B6DAFF"/>
              <w:bottom w:sz="8" w:val="single" w:color="B6DAFF"/>
              <w:right w:sz="8" w:val="single" w:color="B6DAFF"/>
            </w:tcBorders>
          </w:tcPr>
          <w:p>
            <w:pPr>
              <w:spacing w:after="0"/>
              <w:jc w:val="center"/>
            </w:pPr>
            <w:r>
              <w:rPr>
                <w:rFonts w:ascii="Arial" w:hAnsi="Arial" w:eastAsia="Arial"/>
                <w:b/>
                <w:i w:val="0"/>
                <w:color w:val="071525"/>
              </w:rPr>
              <w:t>[LOGO PLACEHOLDER]</w:t>
            </w:r>
            <w:r>
              <w:rPr>
                <w:rFonts w:ascii="Arial" w:hAnsi="Arial" w:eastAsia="Arial"/>
              </w:rPr>
              <w:br/>
            </w:r>
            <w:r>
              <w:rPr>
                <w:rFonts w:ascii="Arial" w:hAnsi="Arial" w:eastAsia="Arial"/>
                <w:b/>
                <w:color w:val="000000"/>
                <w:highlight w:val="yellow"/>
              </w:rPr>
              <w:t>{asset_manager_or_fund_manager_name}</w:t>
            </w:r>
            <w:r>
              <w:rPr>
                <w:rFonts w:ascii="Arial" w:hAnsi="Arial" w:eastAsia="Arial"/>
              </w:rPr>
              <w:br/>
            </w:r>
            <w:r>
              <w:rPr>
                <w:rFonts w:ascii="Arial" w:hAnsi="Arial" w:eastAsia="Arial"/>
                <w:b w:val="0"/>
                <w:i w:val="0"/>
                <w:color w:val="111827"/>
              </w:rPr>
              <w:t xml:space="preserve">Registered Office: </w:t>
            </w:r>
            <w:r>
              <w:rPr>
                <w:rFonts w:ascii="Arial" w:hAnsi="Arial" w:eastAsia="Arial"/>
                <w:b w:val="0"/>
                <w:color w:val="000000"/>
                <w:highlight w:val="yellow"/>
              </w:rPr>
              <w:t>{registered_office_address}</w:t>
            </w:r>
            <w:r>
              <w:rPr>
                <w:rFonts w:ascii="Arial" w:hAnsi="Arial" w:eastAsia="Arial"/>
              </w:rPr>
              <w:t xml:space="preserve"> | Company Registration No.: </w:t>
            </w:r>
            <w:r>
              <w:rPr>
                <w:rFonts w:ascii="Arial" w:hAnsi="Arial" w:eastAsia="Arial"/>
                <w:b w:val="0"/>
                <w:color w:val="000000"/>
                <w:highlight w:val="yellow"/>
              </w:rPr>
              <w:t>{company_registration_number}</w:t>
            </w:r>
            <w:r>
              <w:rPr>
                <w:rFonts w:ascii="Arial" w:hAnsi="Arial" w:eastAsia="Arial"/>
              </w:rPr>
              <w:br/>
            </w:r>
            <w:r>
              <w:rPr>
                <w:rFonts w:ascii="Arial" w:hAnsi="Arial" w:eastAsia="Arial"/>
                <w:b w:val="0"/>
                <w:i w:val="0"/>
                <w:color w:val="111827"/>
              </w:rPr>
              <w:t xml:space="preserve">SECZIM Licence No., if applicable: </w:t>
            </w:r>
            <w:r>
              <w:rPr>
                <w:rFonts w:ascii="Arial" w:hAnsi="Arial" w:eastAsia="Arial"/>
                <w:b w:val="0"/>
                <w:color w:val="000000"/>
                <w:highlight w:val="yellow"/>
              </w:rPr>
              <w:t>{seczim_licence_number}</w:t>
            </w:r>
            <w:r>
              <w:rPr>
                <w:rFonts w:ascii="Arial" w:hAnsi="Arial" w:eastAsia="Arial"/>
              </w:rPr>
              <w:t xml:space="preserve"> | Compliance Contact: </w:t>
            </w:r>
            <w:r>
              <w:rPr>
                <w:rFonts w:ascii="Arial" w:hAnsi="Arial" w:eastAsia="Arial"/>
                <w:b w:val="0"/>
                <w:color w:val="000000"/>
                <w:highlight w:val="yellow"/>
              </w:rPr>
              <w:t>{compliance_contact_email}</w:t>
            </w:r>
          </w:p>
        </w:tc>
      </w:tr>
    </w:tbl>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Replace all yellow-highlighted placeholders with approved system values. Delete blue instruction boxes before issuing the final report. Do not edit standard legal or compliance wording unless approved by Compliance/Legal.</w:t>
            </w:r>
          </w:p>
        </w:tc>
      </w:tr>
    </w:tbl>
    <w:tbl>
      <w:tblPr>
        <w:tblW w:type="auto" w:w="0"/>
        <w:jc w:val="center"/>
        <w:tblLayout w:type="fixed"/>
        <w:tblLook w:firstColumn="1" w:firstRow="1" w:lastColumn="0" w:lastRow="0" w:noHBand="0" w:noVBand="1" w:val="04A0"/>
      </w:tblPr>
      <w:tblGrid>
        <w:gridCol w:w="5328"/>
        <w:gridCol w:w="5328"/>
      </w:tblGrid>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Entity / Licence Holder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{licensed_entity_name}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Regulatory Category</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{regulatory_category}</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Return / Pack Type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{aml_cft_cpf_return_type}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Reporting Period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{reporting_period_start} to {reporting_period_end}</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Prepared For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{recipient_or_regulatory_body}</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Prepared By</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{preparer_name_and_designation}</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Review Status</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Draft / Under Review / Approved / Submitted / Archived</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Document Reference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{document_reference}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Version</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{version_number}</w:t>
            </w:r>
          </w:p>
        </w:tc>
      </w:tr>
    </w:tbl>
    <w:p>
      <w:pPr>
        <w:spacing w:before="200" w:after="80"/>
        <w:jc w:val="center"/>
      </w:pPr>
      <w:r>
        <w:rPr>
          <w:rFonts w:ascii="Arial" w:hAnsi="Arial" w:eastAsia="Arial"/>
          <w:b/>
          <w:color w:val="071525"/>
          <w:sz w:val="20"/>
        </w:rPr>
        <w:t>Confidential Compliance Document</w:t>
      </w:r>
    </w:p>
    <w:p>
      <w:pPr>
        <w:spacing w:after="80"/>
      </w:pPr>
      <w:r>
        <w:rPr>
          <w:rFonts w:ascii="Arial" w:hAnsi="Arial" w:eastAsia="Arial"/>
          <w:sz w:val="18"/>
        </w:rPr>
        <w:br w:type="page"/>
      </w:r>
    </w:p>
    <w:p>
      <w:pPr>
        <w:pStyle w:val="Heading1"/>
        <w:spacing w:before="200" w:after="80"/>
      </w:pPr>
      <w:r>
        <w:rPr>
          <w:rFonts w:ascii="Arial" w:hAnsi="Arial" w:eastAsia="Arial"/>
          <w:b/>
          <w:color w:val="071525"/>
          <w:sz w:val="30"/>
        </w:rPr>
        <w:t>Template Use Guide</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This page may remain in working drafts but should be removed before final submission or client/regulator circulation, unless the firm wants to retain it as internal preparation guidance.</w:t>
            </w:r>
          </w:p>
        </w:tc>
      </w:tr>
    </w:tbl>
    <w:tbl>
      <w:tblPr>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6"/>
              </w:rPr>
              <w:t>Marker</w:t>
            </w:r>
          </w:p>
        </w:tc>
        <w:tc>
          <w:tcPr>
            <w:tcW w:type="dxa" w:w="355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6"/>
              </w:rPr>
              <w:t>Meaning</w:t>
            </w:r>
          </w:p>
        </w:tc>
        <w:tc>
          <w:tcPr>
            <w:tcW w:type="dxa" w:w="355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6"/>
              </w:rPr>
              <w:t>Action Required</w:t>
            </w:r>
          </w:p>
        </w:tc>
      </w:tr>
      <w:tr>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Yellow highlight</w:t>
            </w:r>
          </w:p>
        </w:tc>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Editable placeholder</w:t>
            </w:r>
          </w:p>
        </w:tc>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Replace with verified data from Arcus source modules or approved compliance records.</w:t>
            </w:r>
          </w:p>
        </w:tc>
      </w:tr>
      <w:tr>
        <w:tc>
          <w:tcPr>
            <w:tcW w:type="dxa" w:w="355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Blue box</w:t>
            </w:r>
          </w:p>
        </w:tc>
        <w:tc>
          <w:tcPr>
            <w:tcW w:type="dxa" w:w="355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Instruction/comment</w:t>
            </w:r>
          </w:p>
        </w:tc>
        <w:tc>
          <w:tcPr>
            <w:tcW w:type="dxa" w:w="355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Use as guidance and delete before final issue.</w:t>
            </w:r>
          </w:p>
        </w:tc>
      </w:tr>
      <w:tr>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Plain text</w:t>
            </w:r>
          </w:p>
        </w:tc>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Standard wording</w:t>
            </w:r>
          </w:p>
        </w:tc>
        <w:tc>
          <w:tcPr>
            <w:tcW w:type="dxa" w:w="355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6"/>
                <w:highlight w:val="yellow"/>
              </w:rPr>
              <w:t>Keep unchanged unless Compliance/Legal approves amendments.</w:t>
            </w:r>
          </w:p>
        </w:tc>
      </w:tr>
    </w:tbl>
    <w:p>
      <w:pPr>
        <w:pStyle w:val="Heading1"/>
        <w:spacing w:before="200" w:after="80"/>
      </w:pPr>
      <w:r>
        <w:rPr>
          <w:rFonts w:ascii="Arial" w:hAnsi="Arial" w:eastAsia="Arial"/>
          <w:b/>
          <w:color w:val="071525"/>
          <w:sz w:val="30"/>
        </w:rPr>
        <w:t>1. Purpose and Scope</w:t>
      </w:r>
    </w:p>
    <w:p>
      <w:pPr>
        <w:spacing w:after="80"/>
      </w:pPr>
      <w:r>
        <w:rPr>
          <w:rFonts w:ascii="Arial" w:hAnsi="Arial" w:eastAsia="Arial"/>
          <w:color w:val="111827"/>
          <w:sz w:val="18"/>
        </w:rPr>
        <w:t>This AML/CFT/CPF Return Pack is prepared to support internal compliance review, management sign-off and, where applicable, regulatory reporting relating to anti-money laundering, counter financing of terrorism and counter proliferation financing controls for the reporting period.</w:t>
      </w:r>
    </w:p>
    <w:p>
      <w:pPr>
        <w:spacing w:after="80"/>
      </w:pPr>
      <w:r>
        <w:rPr>
          <w:rFonts w:ascii="Arial" w:hAnsi="Arial" w:eastAsia="Arial"/>
          <w:color w:val="111827"/>
          <w:sz w:val="18"/>
        </w:rPr>
        <w:t>The pack should be read together with the entity's AML/CFT/CPF policy, customer due diligence procedures, sanctions screening records, transaction monitoring records, suspicious transaction escalation records, compliance risk assessment and applicable regulatory guidance.</w:t>
      </w:r>
    </w:p>
    <w:p>
      <w:pPr>
        <w:spacing w:after="80"/>
      </w:pPr>
      <w:r>
        <w:rPr>
          <w:rFonts w:ascii="Arial" w:hAnsi="Arial" w:eastAsia="Arial"/>
          <w:color w:val="111827"/>
          <w:sz w:val="18"/>
        </w:rPr>
        <w:t>This template is a support document. It is not a substitute for the official regulatory form, electronic portal submission, statutory return or regulator-prescribed template where such form or template is required. Final submission requirements must be verified by the Compliance Officer before filing.</w:t>
      </w:r>
    </w:p>
    <w:tbl>
      <w:tblPr>
        <w:tblW w:type="auto" w:w="0"/>
        <w:jc w:val="center"/>
        <w:tblLayout w:type="fixed"/>
        <w:tblLook w:firstColumn="1" w:firstRow="1" w:lastColumn="0" w:lastRow="0" w:noHBand="0" w:noVBand="1" w:val="04A0"/>
      </w:tblPr>
      <w:tblGrid>
        <w:gridCol w:w="5328"/>
        <w:gridCol w:w="5328"/>
      </w:tblGrid>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Reporting Entity</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{licensed_entity_name}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Compliance Officer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{compliance_officer_name}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MLRO / Designated Officer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{mlro_or_designated_officer_name}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Board / Senior Management Owner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{board_or_senior_management_owner}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Applicable Business Lines</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{business_lines_covered}</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Client Population Covered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{client_population_scope}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Data Cut-Off Date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{data_cut_off_date}</w:t>
            </w:r>
          </w:p>
        </w:tc>
      </w:tr>
    </w:tbl>
    <w:p>
      <w:pPr>
        <w:pStyle w:val="Heading1"/>
        <w:spacing w:before="200" w:after="80"/>
      </w:pPr>
      <w:r>
        <w:rPr>
          <w:rFonts w:ascii="Arial" w:hAnsi="Arial" w:eastAsia="Arial"/>
          <w:b/>
          <w:color w:val="071525"/>
          <w:sz w:val="30"/>
        </w:rPr>
        <w:t>2. Executive Compliance Summary</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Complete this section after all schedules below have been populated and reviewed. It should give management and Compliance a concise view of the period's AML/CFT/CPF risk position.</w:t>
            </w:r>
          </w:p>
        </w:tc>
      </w:tr>
    </w:tbl>
    <w:tbl>
      <w:tblPr>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Area</w:t>
            </w:r>
          </w:p>
        </w:tc>
        <w:tc>
          <w:tcPr>
            <w:tcW w:type="dxa" w:w="2664"/>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Current Period</w:t>
            </w:r>
          </w:p>
        </w:tc>
        <w:tc>
          <w:tcPr>
            <w:tcW w:type="dxa" w:w="2664"/>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Prior Period</w:t>
            </w:r>
          </w:p>
        </w:tc>
        <w:tc>
          <w:tcPr>
            <w:tcW w:type="dxa" w:w="2664"/>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Movement / Commentary</w:t>
            </w:r>
          </w:p>
        </w:tc>
      </w:tr>
      <w:tr>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Total active clients / investors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{current_active_clients}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{prior_active_clients}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{movement_commentary_active_clients}</w:t>
            </w:r>
          </w:p>
        </w:tc>
      </w:tr>
      <w:tr>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High-risk clients / investors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{current_high_risk_clients}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{prior_high_risk_clients}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{movement_commentary_high_risk}</w:t>
            </w:r>
          </w:p>
        </w:tc>
      </w:tr>
      <w:tr>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PEP relationships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{current_pep_count}</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{prior_pep_count}</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{movement_commentary_peps}</w:t>
            </w:r>
          </w:p>
        </w:tc>
      </w:tr>
      <w:tr>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Sanctions screening positive matches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{current_positive_matches}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{prior_positive_matches}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{movement_commentary_screening}</w:t>
            </w:r>
          </w:p>
        </w:tc>
      </w:tr>
      <w:tr>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Suspicious transaction / activity escalations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{current_escalations}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{prior_escalations}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{movement_commentary_escalations}</w:t>
            </w:r>
          </w:p>
        </w:tc>
      </w:tr>
      <w:tr>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Reports filed with competent authority, if applicable</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{current_reports_filed}</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{prior_reports_filed}</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{movement_commentary_reports_filed}</w:t>
            </w:r>
          </w:p>
        </w:tc>
      </w:tr>
      <w:tr>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Overdue CDD / KYC reviews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{current_overdue_reviews}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{prior_overdue_reviews}</w:t>
            </w:r>
          </w:p>
        </w:tc>
        <w:tc>
          <w:tcPr>
            <w:tcW w:type="dxa" w:w="2664"/>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{movement_commentary_overdue}</w:t>
            </w:r>
          </w:p>
        </w:tc>
      </w:tr>
      <w:tr>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Open remediation actions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{current_open_actions}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{prior_open_actions}</w:t>
            </w:r>
          </w:p>
        </w:tc>
        <w:tc>
          <w:tcPr>
            <w:tcW w:type="dxa" w:w="2664"/>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{movement_commentary_actions}</w:t>
            </w:r>
          </w:p>
        </w:tc>
      </w:tr>
    </w:tbl>
    <w:p>
      <w:pPr>
        <w:spacing w:after="80"/>
      </w:pPr>
      <w:r>
        <w:rPr>
          <w:rFonts w:ascii="Arial" w:hAnsi="Arial" w:eastAsia="Arial"/>
          <w:color w:val="111827"/>
          <w:sz w:val="18"/>
        </w:rPr>
        <w:t xml:space="preserve">Management commentary: </w:t>
      </w:r>
      <w:r>
        <w:rPr>
          <w:rFonts w:ascii="Arial" w:hAnsi="Arial" w:eastAsia="Arial"/>
          <w:b w:val="0"/>
          <w:color w:val="000000"/>
          <w:sz w:val="18"/>
          <w:highlight w:val="yellow"/>
        </w:rPr>
        <w:t>{summarise_overall_aml_cft_cpf_risk_position_and_key_actions}</w:t>
      </w:r>
    </w:p>
    <w:p>
      <w:pPr>
        <w:pStyle w:val="Heading1"/>
        <w:spacing w:before="200" w:after="80"/>
      </w:pPr>
      <w:r>
        <w:rPr>
          <w:rFonts w:ascii="Arial" w:hAnsi="Arial" w:eastAsia="Arial"/>
          <w:b/>
          <w:color w:val="071525"/>
          <w:sz w:val="30"/>
        </w:rPr>
        <w:t>3. Client / Investor Due Diligence Summary</w:t>
      </w:r>
    </w:p>
    <w:p>
      <w:pPr>
        <w:spacing w:after="80"/>
      </w:pPr>
      <w:r>
        <w:rPr>
          <w:rFonts w:ascii="Arial" w:hAnsi="Arial" w:eastAsia="Arial"/>
          <w:color w:val="111827"/>
          <w:sz w:val="18"/>
        </w:rPr>
        <w:t>This section summarises customer due diligence and investor verification coverage for the reporting period.</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Client / Investor Category</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Opening Count</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New</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Closed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Closing Count</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CDD Complete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CDD Incomplete / Overdue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Individual clients / investors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{opening_individuals}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{new_individuals}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{closed_individuals}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{closing_individuals}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{individual_cdd_complete}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{individual_cdd_overdue}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Corporate clients / investors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{opening_corporates}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{new_corporates}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{closed_corporates}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{closing_corporates}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{corporate_cdd_complete}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{corporate_cdd_overdue}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Trusts / nominees / intermediaries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{opening_trusts_nominees}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{new_trusts_nominees}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{closed_trusts_nominees}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{closing_trusts_nominees}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{trust_cdd_complete}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{trust_cdd_overdue}</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Institutional / pension / fund clients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{opening_institutional}</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{new_institutional}</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{closed_institutional}</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{closing_institutional}</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{institutional_cdd_complete}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{institutional_cdd_overdue}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Other</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{opening_other}</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{new_other}</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{closed_other}</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{closing_other}</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{other_cdd_complete}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{other_cdd_overdue}</w:t>
            </w:r>
          </w:p>
        </w:tc>
      </w:tr>
    </w:tbl>
    <w:p>
      <w:pPr>
        <w:pStyle w:val="Heading2"/>
        <w:spacing w:before="160" w:after="80"/>
      </w:pPr>
      <w:r>
        <w:rPr>
          <w:rFonts w:ascii="Arial" w:hAnsi="Arial" w:eastAsia="Arial"/>
          <w:b/>
          <w:color w:val="0B8DEF"/>
          <w:sz w:val="23"/>
        </w:rPr>
        <w:t>3.1 Beneficial Ownership and Control Verification</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Category</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Total Relevant Records</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Verified</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Pending / Exception</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Notes</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Beneficial ownership declarations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{bo_total}</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{bo_verified}</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{bo_pending}</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{bo_notes}</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Directors / authorised signatories</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{signatory_total}</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{signatory_verified}</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{signatory_pending}</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{signatory_notes}</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Source of funds / source of wealth evidence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{sof_total}</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{sof_verified}</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{sof_pending}</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{sof_notes}</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Enhanced due diligence records</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{edd_total}</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{edd_verified}</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{edd_pending}</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{edd_notes}</w:t>
            </w:r>
          </w:p>
        </w:tc>
      </w:tr>
    </w:tbl>
    <w:p>
      <w:pPr>
        <w:pStyle w:val="Heading1"/>
        <w:spacing w:before="200" w:after="80"/>
      </w:pPr>
      <w:r>
        <w:rPr>
          <w:rFonts w:ascii="Arial" w:hAnsi="Arial" w:eastAsia="Arial"/>
          <w:b/>
          <w:color w:val="071525"/>
          <w:sz w:val="30"/>
        </w:rPr>
        <w:t>4. AML/CFT/CPF Risk Assessment</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Use the firm's approved risk methodology. Do not change risk ratings merely for presentation purposes. Any override must be approved and logged.</w:t>
            </w:r>
          </w:p>
        </w:tc>
      </w:tr>
    </w:tbl>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Risk Factor</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Low</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Medium</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High</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Prohibited / Exited</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Commentary</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Client / investor risk</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{client_low}</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{client_medium}</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{client_high}</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{client_prohibited}</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{client_risk_commentary}</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Product / service risk</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{product_low}</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{product_medium}</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{product_high}</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{product_prohibited}</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{product_risk_commentary}</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Geographic risk</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{geo_low}</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{geo_medium}</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{geo_high}</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{geo_prohibited}</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{geo_risk_commentary}</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Transaction / activity risk</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{transaction_low}</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{transaction_medium}</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{transaction_high}</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{transaction_prohibited}</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{transaction_risk_commentary}</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Delivery channel risk</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{channel_low}</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{channel_medium}</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{channel_high}</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{channel_prohibited}</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{channel_risk_commentary}</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Overall client risk rating</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{overall_low}</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{overall_medium}</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{overall_high}</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{overall_prohibited}</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{overall_risk_commentary}</w:t>
            </w:r>
          </w:p>
        </w:tc>
      </w:tr>
    </w:tbl>
    <w:p>
      <w:pPr>
        <w:pStyle w:val="Heading2"/>
        <w:spacing w:before="160" w:after="80"/>
      </w:pPr>
      <w:r>
        <w:rPr>
          <w:rFonts w:ascii="Arial" w:hAnsi="Arial" w:eastAsia="Arial"/>
          <w:b/>
          <w:color w:val="0B8DEF"/>
          <w:sz w:val="23"/>
        </w:rPr>
        <w:t>4.1 High-Risk Client / Investor Register</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Client / Investor ID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Client / Investor Name</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Risk Rating</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Risk Driver</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EDD Completed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Last Review Date</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Next Review Date</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Status</w:t>
            </w:r>
          </w:p>
        </w:tc>
      </w:tr>
      <w:tr>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{client_id_1}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{client_name_1}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{risk_rating_1}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{risk_driver_1}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{edd_status_1}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{last_review_1}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{next_review_1}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{status_1}</w:t>
            </w:r>
          </w:p>
        </w:tc>
      </w:tr>
      <w:tr>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{client_id_2}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{client_name_2}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{risk_rating_2}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{risk_driver_2}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{edd_status_2}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{last_review_2}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{next_review_2}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{status_2}</w:t>
            </w:r>
          </w:p>
        </w:tc>
      </w:tr>
      <w:tr>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{client_id_3}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{client_name_3}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{risk_rating_3}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{risk_driver_3}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{edd_status_3}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{last_review_3}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{next_review_3}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{status_3}</w:t>
            </w:r>
          </w:p>
        </w:tc>
      </w:tr>
    </w:tbl>
    <w:p>
      <w:pPr>
        <w:pStyle w:val="Heading1"/>
        <w:spacing w:before="200" w:after="80"/>
      </w:pPr>
      <w:r>
        <w:rPr>
          <w:rFonts w:ascii="Arial" w:hAnsi="Arial" w:eastAsia="Arial"/>
          <w:b/>
          <w:color w:val="071525"/>
          <w:sz w:val="30"/>
        </w:rPr>
        <w:t>5. Sanctions, PEP and Adverse Media Screening</w:t>
      </w:r>
    </w:p>
    <w:p>
      <w:pPr>
        <w:spacing w:after="80"/>
      </w:pPr>
      <w:r>
        <w:rPr>
          <w:rFonts w:ascii="Arial" w:hAnsi="Arial" w:eastAsia="Arial"/>
          <w:color w:val="111827"/>
          <w:sz w:val="18"/>
        </w:rPr>
        <w:t>This section records screening coverage and the handling of potential matches for clients, investors, beneficial owners, directors, authorised signatories, counterparties and other relevant parties.</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Screening Area</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Population Screened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Potential Matches</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True Matches</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False Positives Cleared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Open / Escalated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Notes</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Sanctions screening</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{sanctions_population}</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{sanctions_potential}</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{sanctions_true}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{sanctions_false_positive}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{sanctions_open}</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{sanctions_notes}</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 screening</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{pep_population}</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{pep_potential}</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{pep_true}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{pep_false_positive}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{pep_open}</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{pep_notes}</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Adverse media screening</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{media_population}</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{media_potential}</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{media_true}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{media_false_positive}</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{media_open}</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{media_notes}</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Counterparty screening</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{counterparty_population}</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{counterparty_potential}</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{counterparty_true}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{counterparty_false_positive}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{counterparty_open}</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{counterparty_notes}</w:t>
            </w:r>
          </w:p>
        </w:tc>
      </w:tr>
    </w:tbl>
    <w:p>
      <w:pPr>
        <w:pStyle w:val="Heading2"/>
        <w:spacing w:before="160" w:after="80"/>
      </w:pPr>
      <w:r>
        <w:rPr>
          <w:rFonts w:ascii="Arial" w:hAnsi="Arial" w:eastAsia="Arial"/>
          <w:b/>
          <w:color w:val="0B8DEF"/>
          <w:sz w:val="23"/>
        </w:rPr>
        <w:t>5.1 Screening Exceptions and Escalations</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Exception ID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Party Name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Match Type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Date Identified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Escalated To</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Decision / Status</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Evidence Reference</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{screening_exception_id_1}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{party_name_1}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{match_type_1}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{identified_date_1}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{escalated_to_1}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{decision_status_1}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{evidence_ref_1}</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{screening_exception_id_2}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{party_name_2}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{match_type_2}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{identified_date_2}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{escalated_to_2}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{decision_status_2}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{evidence_ref_2}</w:t>
            </w:r>
          </w:p>
        </w:tc>
      </w:tr>
    </w:tbl>
    <w:p>
      <w:pPr>
        <w:pStyle w:val="Heading1"/>
        <w:spacing w:before="200" w:after="80"/>
      </w:pPr>
      <w:r>
        <w:rPr>
          <w:rFonts w:ascii="Arial" w:hAnsi="Arial" w:eastAsia="Arial"/>
          <w:b/>
          <w:color w:val="071525"/>
          <w:sz w:val="30"/>
        </w:rPr>
        <w:t>6. Transaction Monitoring and Suspicious Activity</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Populate from the approved transaction monitoring, exception and case management records. Do not include unnecessary personal data in the final version unless required for the intended recipient.</w:t>
            </w:r>
          </w:p>
        </w:tc>
      </w:tr>
    </w:tbl>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Monitoring Category</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Alerts Generated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Reviewed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Closed No Issue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Escalated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Filed / Reported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Open</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Unusual subscription / redemption patterns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{sub_red_alerts}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{sub_red_reviewed}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{sub_red_closed}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{sub_red_escalated}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{sub_red_filed}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{sub_red_open}</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Large or unusual cash / bank movements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{cash_alerts}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{cash_reviewed}</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{cash_closed}</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{cash_escalated}</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{cash_filed}</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{cash_open}</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Unusual securities trading activity</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{trade_alerts}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{trade_reviewed}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{trade_closed}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{trade_escalated}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{trade_filed}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{trade_open}</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High-risk jurisdiction exposure</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{jurisdiction_alerts}</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{jurisdiction_reviewed}</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{jurisdiction_closed}</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{jurisdiction_escalated}</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{jurisdiction_filed}</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{jurisdiction_open}</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Other AML/CFT/CPF trigger events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{other_alerts}</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{other_reviewed}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{other_closed}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{other_escalated}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{other_filed}</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{other_open}</w:t>
            </w:r>
          </w:p>
        </w:tc>
      </w:tr>
    </w:tbl>
    <w:p>
      <w:pPr>
        <w:pStyle w:val="Heading2"/>
        <w:spacing w:before="160" w:after="80"/>
      </w:pPr>
      <w:r>
        <w:rPr>
          <w:rFonts w:ascii="Arial" w:hAnsi="Arial" w:eastAsia="Arial"/>
          <w:b/>
          <w:color w:val="0B8DEF"/>
          <w:sz w:val="23"/>
        </w:rPr>
        <w:t>6.1 Suspicious Transaction / Activity Case Register</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Case ID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Client / Investor ID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Trigger</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Date Opened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MLRO Decision</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Report Filed?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Date Closed</w:t>
            </w:r>
          </w:p>
        </w:tc>
        <w:tc>
          <w:tcPr>
            <w:tcW w:type="dxa" w:w="133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Status</w:t>
            </w:r>
          </w:p>
        </w:tc>
      </w:tr>
      <w:tr>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{case_id_1}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{client_id_case_1}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{trigger_1}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{date_opened_1}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{mlro_decision_1}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{report_filed_1}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{date_closed_1}</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{case_status_1}</w:t>
            </w:r>
          </w:p>
        </w:tc>
      </w:tr>
      <w:tr>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{case_id_2}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{client_id_case_2}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{trigger_2}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{date_opened_2}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{mlro_decision_2}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{report_filed_2}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{date_closed_2}</w:t>
            </w:r>
          </w:p>
        </w:tc>
        <w:tc>
          <w:tcPr>
            <w:tcW w:type="dxa" w:w="133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{case_status_2}</w:t>
            </w:r>
          </w:p>
        </w:tc>
      </w:tr>
      <w:tr>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{case_id_3}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{client_id_case_3}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{trigger_3}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{date_opened_3}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{mlro_decision_3}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{report_filed_3}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{date_closed_3}</w:t>
            </w:r>
          </w:p>
        </w:tc>
        <w:tc>
          <w:tcPr>
            <w:tcW w:type="dxa" w:w="133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{case_status_3}</w:t>
            </w:r>
          </w:p>
        </w:tc>
      </w:tr>
    </w:tbl>
    <w:p>
      <w:pPr>
        <w:pStyle w:val="Heading1"/>
        <w:spacing w:before="200" w:after="80"/>
      </w:pPr>
      <w:r>
        <w:rPr>
          <w:rFonts w:ascii="Arial" w:hAnsi="Arial" w:eastAsia="Arial"/>
          <w:b/>
          <w:color w:val="071525"/>
          <w:sz w:val="30"/>
        </w:rPr>
        <w:t>7. Regulatory Return Support Schedule</w:t>
      </w:r>
    </w:p>
    <w:p>
      <w:pPr>
        <w:spacing w:after="80"/>
      </w:pPr>
      <w:r>
        <w:rPr>
          <w:rFonts w:ascii="Arial" w:hAnsi="Arial" w:eastAsia="Arial"/>
          <w:color w:val="111827"/>
          <w:sz w:val="18"/>
        </w:rPr>
        <w:t>This section consolidates information required to support AML/CFT/CPF reporting, prudential evidence packs or regulator queries where applicable.</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Return Item</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Status</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Prepared By</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Reviewed By</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Evidence Reference</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Comments</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 population summary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{client_population_status}</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{client_population_prepared_by}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{client_population_reviewed_by}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{client_population_evidence}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{client_population_comments}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 rating summary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{risk_rating_status}</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{risk_rating_prepared_by}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{risk_rating_reviewed_by}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{risk_rating_evidence}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{risk_rating_comments}</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PEP and sanctions screening summary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{screening_status}</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{screening_prepared_by}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{screening_reviewed_by}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{screening_evidence}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{screening_comments}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Suspicious activity / transaction summary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{str_status}</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{str_prepared_by}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{str_reviewed_by}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{str_evidence}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{str_comments}</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 and awareness records</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{training_status}</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{training_prepared_by}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{training_reviewed_by}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{training_evidence}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{training_comments}</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Independent review / audit findings</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{audit_status}</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{audit_prepared_by}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{audit_reviewed_by}</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{audit_evidence}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{audit_comments}</w:t>
            </w:r>
          </w:p>
        </w:tc>
      </w:tr>
    </w:tbl>
    <w:p>
      <w:pPr>
        <w:pStyle w:val="Heading1"/>
        <w:spacing w:before="200" w:after="80"/>
      </w:pPr>
      <w:r>
        <w:rPr>
          <w:rFonts w:ascii="Arial" w:hAnsi="Arial" w:eastAsia="Arial"/>
          <w:b/>
          <w:color w:val="071525"/>
          <w:sz w:val="30"/>
        </w:rPr>
        <w:t>8. AML/CFT/CPF Training and Governance</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Governance Area</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Requirement / Control</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Current Period Status</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Evidence Reference</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Comments</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Board / senior management oversight</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{oversight_requirement}</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{oversight_status}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{oversight_evidence}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{oversight_comments}</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Staff AML/CFT/CPF training</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{training_requirement}</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{training_current_status}</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{training_evidence_ref}</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{training_comments_detail}</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Policy review</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{policy_review_requirement}</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{policy_review_status}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{policy_review_evidence}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{policy_review_comments}</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Independent compliance review</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{independent_review_requirement}</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{independent_review_status}</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{independent_review_evidence}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{independent_review_comments}</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Regulatory communication / queries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{regulatory_query_requirement}</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{regulatory_query_status}</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{regulatory_query_evidence}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{regulatory_query_comments}</w:t>
            </w:r>
          </w:p>
        </w:tc>
      </w:tr>
    </w:tbl>
    <w:p>
      <w:pPr>
        <w:pStyle w:val="Heading1"/>
        <w:spacing w:before="200" w:after="80"/>
      </w:pPr>
      <w:r>
        <w:rPr>
          <w:rFonts w:ascii="Arial" w:hAnsi="Arial" w:eastAsia="Arial"/>
          <w:b/>
          <w:color w:val="071525"/>
          <w:sz w:val="30"/>
        </w:rPr>
        <w:t>9. Exceptions and Remediation Action Plan</w:t>
      </w:r>
    </w:p>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All open issues should have an owner, target date and status. Overdue actions should be escalated to the Compliance Officer and senior management.</w:t>
            </w:r>
          </w:p>
        </w:tc>
      </w:tr>
    </w:tbl>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Action ID</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Finding / Exception</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Risk Level</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Owner</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Target Date</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Current Status</w:t>
            </w:r>
          </w:p>
        </w:tc>
        <w:tc>
          <w:tcPr>
            <w:tcW w:type="dxa" w:w="1522"/>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3"/>
              </w:rPr>
              <w:t>Escalation Required</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{action_id_1}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{finding_exception_1}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{risk_level_1}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{owner_1}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{target_date_1}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{status_1}</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{escalation_required_1}</w:t>
            </w:r>
          </w:p>
        </w:tc>
      </w:tr>
      <w:tr>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{action_id_2}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{finding_exception_2}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{risk_level_2}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{owner_2}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{target_date_2}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{status_2}</w:t>
            </w:r>
          </w:p>
        </w:tc>
        <w:tc>
          <w:tcPr>
            <w:tcW w:type="dxa" w:w="1522"/>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{escalation_required_2}</w:t>
            </w:r>
          </w:p>
        </w:tc>
      </w:tr>
      <w:tr>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{action_id_3}</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{finding_exception_3}</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{risk_level_3}</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{owner_3}</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{target_date_3}</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{status_3}</w:t>
            </w:r>
          </w:p>
        </w:tc>
        <w:tc>
          <w:tcPr>
            <w:tcW w:type="dxa" w:w="1522"/>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3"/>
                <w:highlight w:val="yellow"/>
              </w:rPr>
              <w:t>{escalation_required_3}</w:t>
            </w:r>
          </w:p>
        </w:tc>
      </w:tr>
    </w:tbl>
    <w:p>
      <w:pPr>
        <w:pStyle w:val="Heading1"/>
        <w:spacing w:before="200" w:after="80"/>
      </w:pPr>
      <w:r>
        <w:rPr>
          <w:rFonts w:ascii="Arial" w:hAnsi="Arial" w:eastAsia="Arial"/>
          <w:b/>
          <w:color w:val="071525"/>
          <w:sz w:val="30"/>
        </w:rPr>
        <w:t>10. Supporting Documents Register</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Document / Evidence</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Source System / Owner</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Date</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Version</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Reviewed?</w:t>
            </w:r>
          </w:p>
        </w:tc>
        <w:tc>
          <w:tcPr>
            <w:tcW w:type="dxa" w:w="1776"/>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2"/>
              </w:rPr>
              <w:t>Document Reference</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AML/CFT/CPF policy</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{policy_source_owner}</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{policy_date}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{policy_version}</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{policy_reviewed}</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{policy_doc_ref}</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Client risk assessment extract</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{risk_extract_source_owner}</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{risk_extract_date}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{risk_extract_version}</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{risk_extract_reviewed}</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{risk_extract_doc_ref}</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CDD/KYC exception report</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{kyc_exception_source_owner}</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{kyc_exception_date}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{kyc_exception_version}</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{kyc_exception_reviewed}</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{kyc_exception_doc_ref}</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Sanctions/PEP screening report</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{screening_report_source_owner}</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{screening_report_date}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{screening_report_version}</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{screening_report_reviewed}</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{screening_report_doc_ref}</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Transaction monitoring cases report</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{case_report_source_owner}</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{case_report_date}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{case_report_version}</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{case_report_reviewed}</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{case_report_doc_ref}</w:t>
            </w:r>
          </w:p>
        </w:tc>
      </w:tr>
      <w:tr>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Training attendance register</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{training_register_source_owner}</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{training_register_date}</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{training_register_version}</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{training_register_reviewed}</w:t>
            </w:r>
          </w:p>
        </w:tc>
        <w:tc>
          <w:tcPr>
            <w:tcW w:type="dxa" w:w="1776"/>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{training_register_doc_ref}</w:t>
            </w:r>
          </w:p>
        </w:tc>
      </w:tr>
      <w:tr>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Management approval evidence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{approval_evidence_source_owner}</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{approval_evidence_date}</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{approval_evidence_version}</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{approval_evidence_reviewed}</w:t>
            </w:r>
          </w:p>
        </w:tc>
        <w:tc>
          <w:tcPr>
            <w:tcW w:type="dxa" w:w="1776"/>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2"/>
                <w:highlight w:val="yellow"/>
              </w:rPr>
              <w:t>{approval_evidence_doc_ref}</w:t>
            </w:r>
          </w:p>
        </w:tc>
      </w:tr>
    </w:tbl>
    <w:p>
      <w:pPr>
        <w:pStyle w:val="Heading1"/>
        <w:spacing w:before="200" w:after="80"/>
      </w:pPr>
      <w:r>
        <w:rPr>
          <w:rFonts w:ascii="Arial" w:hAnsi="Arial" w:eastAsia="Arial"/>
          <w:b/>
          <w:color w:val="071525"/>
          <w:sz w:val="30"/>
        </w:rPr>
        <w:t>11. Management Declaration</w:t>
      </w:r>
    </w:p>
    <w:p>
      <w:pPr>
        <w:spacing w:after="80"/>
      </w:pPr>
      <w:r>
        <w:rPr>
          <w:rFonts w:ascii="Arial" w:hAnsi="Arial" w:eastAsia="Arial"/>
          <w:color w:val="111827"/>
          <w:sz w:val="18"/>
        </w:rPr>
        <w:t>Based on the information reviewed and subject to the limitations, exceptions and open remediation actions disclosed in this pack, management confirms that the AML/CFT/CPF information presented herein has been prepared from the entity's approved compliance, client, transaction monitoring and reporting records for the stated reporting period.</w:t>
      </w:r>
    </w:p>
    <w:p>
      <w:pPr>
        <w:spacing w:after="80"/>
      </w:pPr>
      <w:r>
        <w:rPr>
          <w:rFonts w:ascii="Arial" w:hAnsi="Arial" w:eastAsia="Arial"/>
          <w:color w:val="111827"/>
          <w:sz w:val="18"/>
        </w:rPr>
        <w:t>The authorised officers further confirm that any known material exceptions, suspicious activity escalations, screening issues, overdue due diligence matters and remediation actions have been disclosed in this pack, to the best of their knowledge and based on records available at the date of approval.</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Role</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Name</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Designation</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Date</w:t>
            </w:r>
          </w:p>
        </w:tc>
        <w:tc>
          <w:tcPr>
            <w:tcW w:type="dxa" w:w="2131"/>
            <w:shd w:fill="071525"/>
            <w:tcMar>
              <w:top w:w="70" w:type="dxa"/>
              <w:start w:w="60" w:type="dxa"/>
              <w:bottom w:w="70" w:type="dxa"/>
              <w:end w:w="6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FFFFFF"/>
                <w:sz w:val="14"/>
              </w:rPr>
              <w:t>Signature</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Prepared by</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{prepared_by_name}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{prepared_by_designation}</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{prepared_date}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____________________</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Compliance Officer review</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{compliance_officer_name}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{compliance_officer_designation}</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{compliance_review_date}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____________________</w:t>
            </w:r>
          </w:p>
        </w:tc>
      </w:tr>
      <w:tr>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MLRO / Designated Officer approval</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{mlro_name}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{mlro_designation}</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{mlro_approval_date}</w:t>
            </w:r>
          </w:p>
        </w:tc>
        <w:tc>
          <w:tcPr>
            <w:tcW w:type="dxa" w:w="2131"/>
            <w:tcMar>
              <w:top w:w="70" w:type="dxa"/>
              <w:start w:w="60" w:type="dxa"/>
              <w:bottom w:w="70" w:type="dxa"/>
              <w:end w:w="60" w:type="dxa"/>
            </w:tcMar>
            <w:shd w:fill="F8FB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____________________</w:t>
            </w:r>
          </w:p>
        </w:tc>
      </w:tr>
      <w:tr>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Authorised Officer / Executive approval</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{authorised_officer_name}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{authorised_officer_designation}</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4"/>
                <w:highlight w:val="yellow"/>
              </w:rPr>
              <w:t>{authorised_approval_date}</w:t>
            </w:r>
          </w:p>
        </w:tc>
        <w:tc>
          <w:tcPr>
            <w:tcW w:type="dxa" w:w="2131"/>
            <w:tcMar>
              <w:top w:w="70" w:type="dxa"/>
              <w:start w:w="60" w:type="dxa"/>
              <w:bottom w:w="70" w:type="dxa"/>
              <w:end w:w="60" w:type="dxa"/>
            </w:tcMar>
            <w:shd w:fill="FFFFFF"/>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111827"/>
                <w:sz w:val="14"/>
              </w:rPr>
              <w:t>____________________</w:t>
            </w:r>
          </w:p>
        </w:tc>
      </w:tr>
    </w:tbl>
    <w:p>
      <w:pPr>
        <w:pStyle w:val="Heading1"/>
        <w:spacing w:before="200" w:after="80"/>
      </w:pPr>
      <w:r>
        <w:rPr>
          <w:rFonts w:ascii="Arial" w:hAnsi="Arial" w:eastAsia="Arial"/>
          <w:b/>
          <w:color w:val="071525"/>
          <w:sz w:val="30"/>
        </w:rPr>
        <w:t>12. Submission and Audit Trail</w:t>
      </w:r>
    </w:p>
    <w:tbl>
      <w:tblPr>
        <w:tblW w:type="auto" w:w="0"/>
        <w:jc w:val="center"/>
        <w:tblLayout w:type="fixed"/>
        <w:tblLook w:firstColumn="1" w:firstRow="1" w:lastColumn="0" w:lastRow="0" w:noHBand="0" w:noVBand="1" w:val="04A0"/>
      </w:tblPr>
      <w:tblGrid>
        <w:gridCol w:w="5328"/>
        <w:gridCol w:w="5328"/>
      </w:tblGrid>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Reporting Run ID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{reporting_run_id}</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Regulatory Return ID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{regulatory_return_id}</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Generated Report ID</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{generated_report_id}</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Source Modules / Records</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{source_modules_and_records}</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Generated By</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{generated_by_user}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Generated Date and Time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{generated_datetime}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Checker / Compliance Approver</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{checker_or_compliance_approver}</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Approval Date and Time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{approval_datetime}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Submission Reference, if applicable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{submission_reference}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Submission Date, if applicable</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{submission_date}</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Document Hash / Checksum</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{document_hash_checksum}</w:t>
            </w:r>
          </w:p>
        </w:tc>
      </w:tr>
      <w:tr>
        <w:tc>
          <w:tcPr>
            <w:tcW w:type="dxa" w:w="3312"/>
            <w:shd w:fill="F3F6FA"/>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color w:val="111827"/>
                <w:sz w:val="17"/>
              </w:rPr>
              <w:t>Archive Status</w:t>
            </w:r>
          </w:p>
        </w:tc>
        <w:tc>
          <w:tcPr>
            <w:tcW w:type="dxa" w:w="6480"/>
            <w:tcMar>
              <w:top w:w="80" w:type="dxa"/>
              <w:start w:w="80" w:type="dxa"/>
              <w:bottom w:w="80" w:type="dxa"/>
              <w:end w:w="80" w:type="dxa"/>
            </w:tcMar>
            <w:vAlign w:val="center"/>
            <w:tcBorders>
              <w:top w:sz="6" w:val="single" w:color="C8D3DF"/>
              <w:left w:sz="6" w:val="single" w:color="C8D3DF"/>
              <w:bottom w:sz="6" w:val="single" w:color="C8D3DF"/>
              <w:right w:sz="6" w:val="single" w:color="C8D3DF"/>
            </w:tcBorders>
          </w:tcPr>
          <w:p>
            <w:pPr>
              <w:spacing w:after="0"/>
            </w:pPr>
            <w:r>
              <w:rPr>
                <w:rFonts w:ascii="Arial" w:hAnsi="Arial" w:eastAsia="Arial"/>
              </w:rPr>
            </w:r>
            <w:r>
              <w:rPr>
                <w:rFonts w:ascii="Arial" w:hAnsi="Arial" w:eastAsia="Arial"/>
                <w:b w:val="0"/>
                <w:color w:val="000000"/>
                <w:sz w:val="17"/>
                <w:highlight w:val="yellow"/>
              </w:rPr>
              <w:t>Draft / Locked / Submitted / Archived</w:t>
            </w:r>
          </w:p>
        </w:tc>
      </w:tr>
    </w:tbl>
    <w:tbl>
      <w:tblPr>
        <w:tblW w:type="auto" w:w="0"/>
        <w:jc w:val="center"/>
        <w:tblLook w:firstColumn="1" w:firstRow="1" w:lastColumn="0" w:lastRow="0" w:noHBand="0" w:noVBand="1" w:val="04A0"/>
      </w:tblPr>
      <w:tblGrid>
        <w:gridCol w:w="10656"/>
      </w:tblGrid>
      <w:tr>
        <w:tc>
          <w:tcPr>
            <w:tcW w:type="dxa" w:w="10656"/>
            <w:shd w:fill="D7ECFF"/>
            <w:tcMar>
              <w:top w:w="120" w:type="dxa"/>
              <w:start w:w="140" w:type="dxa"/>
              <w:bottom w:w="120" w:type="dxa"/>
              <w:end w:w="140" w:type="dxa"/>
            </w:tcMar>
            <w:tcBorders>
              <w:top w:sz="8" w:val="single" w:color="7BBEF7"/>
              <w:left w:sz="8" w:val="single" w:color="7BBEF7"/>
              <w:bottom w:sz="8" w:val="single" w:color="7BBEF7"/>
              <w:right w:sz="8" w:val="single" w:color="7BBEF7"/>
            </w:tcBorders>
          </w:tcPr>
          <w:p>
            <w:pPr>
              <w:spacing w:after="0"/>
            </w:pPr>
            <w:r>
              <w:rPr>
                <w:rFonts w:ascii="Arial" w:hAnsi="Arial" w:eastAsia="Arial"/>
                <w:b/>
                <w:color w:val="071525"/>
                <w:sz w:val="17"/>
              </w:rPr>
              <w:t xml:space="preserve">INSTRUCTION: </w:t>
            </w:r>
            <w:r>
              <w:rPr>
                <w:rFonts w:ascii="Arial" w:hAnsi="Arial" w:eastAsia="Arial"/>
                <w:color w:val="071525"/>
                <w:sz w:val="17"/>
              </w:rPr>
              <w:t>Before final issue, confirm that this pack has been generated from approved source data, reviewed by the Compliance Officer, approved by the authorised officer and archived with checksum/audit details.</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Confidential Compliance Reporting Template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Pr>
    <w:tblGrid>
      <w:gridCol w:w="5184"/>
      <w:gridCol w:w="5184"/>
    </w:tblGrid>
    <w:tr>
      <w:tc>
        <w:tcPr>
          <w:tcW w:type="dxa" w:w="5184"/>
          <w:shd w:fill="071525"/>
          <w:tcMar>
            <w:top w:w="100" w:type="dxa"/>
            <w:start w:w="100" w:type="dxa"/>
            <w:bottom w:w="100" w:type="dxa"/>
            <w:end w:w="100" w:type="dxa"/>
          </w:tcMar>
          <w:tcBorders>
            <w:top w:sz="0" w:val="single" w:color="071525"/>
            <w:left w:sz="0" w:val="single" w:color="071525"/>
            <w:bottom w:sz="0" w:val="single" w:color="071525"/>
            <w:right w:sz="0" w:val="single" w:color="071525"/>
          </w:tcBorders>
        </w:tcPr>
        <w:p>
          <w:r>
            <w:rPr>
              <w:b/>
              <w:color w:val="FFFFFF"/>
              <w:sz w:val="18"/>
            </w:rPr>
            <w:t>■  ARCUS REPORTING TEMPLATE</w:t>
          </w:r>
        </w:p>
      </w:tc>
      <w:tc>
        <w:tcPr>
          <w:tcW w:type="dxa" w:w="5184"/>
          <w:shd w:fill="071525"/>
          <w:tcMar>
            <w:top w:w="100" w:type="dxa"/>
            <w:start w:w="100" w:type="dxa"/>
            <w:bottom w:w="100" w:type="dxa"/>
            <w:end w:w="100" w:type="dxa"/>
          </w:tcMar>
          <w:tcBorders>
            <w:top w:sz="0" w:val="single" w:color="071525"/>
            <w:left w:sz="0" w:val="single" w:color="071525"/>
            <w:bottom w:sz="0" w:val="single" w:color="071525"/>
            <w:right w:sz="0" w:val="single" w:color="071525"/>
          </w:tcBorders>
        </w:tcPr>
        <w:p>
          <w:pPr>
            <w:jc w:val="right"/>
          </w:pPr>
          <w:r>
            <w:rPr>
              <w:color w:val="FFFFFF"/>
              <w:sz w:val="16"/>
            </w:rPr>
            <w:t>AML/CFT/CPF Return Pack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AML/CFT/CPF Return Pack Template</dc:title>
  <dc:subject>Report 26 template for Arcus Quarterly Reporting Module</dc:subject>
  <dc:creator>Arcus Reporting Template</dc:creator>
  <cp:keywords/>
  <dc:description>Generated as editable DOCX template with highlighted placeholders and instruction boxes.</dc:description>
  <cp:lastModifiedBy/>
  <cp:revision>1</cp:revision>
  <dcterms:created xsi:type="dcterms:W3CDTF">2013-12-23T23:15:00Z</dcterms:created>
  <dcterms:modified xsi:type="dcterms:W3CDTF">2013-12-23T23:15:00Z</dcterms:modified>
  <cp:category/>
</cp:coreProperties>
</file>